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F3864" w:sz="6"/>
              <w:left w:val="single" w:color="1F3864" w:sz="6"/>
              <w:bottom w:val="single" w:color="1F3864" w:sz="6"/>
              <w:right w:val="single" w:color="1F3864" w:sz="6"/>
            </w:tcBorders>
            <w:shd w:fill="F1EFE8" w:color="auto" w:val="clear"/>
            <w:tcMar>
              <w:top w:type="dxa" w:w="120"/>
              <w:left w:type="dxa" w:w="140"/>
              <w:bottom w:type="dxa" w:w="120"/>
              <w:right w:type="dxa" w:w="140"/>
            </w:tcMar>
          </w:tcPr>
          <w:p>
            <w:pPr>
              <w:spacing w:after="0" w:line="260"/>
            </w:pPr>
            <w:r>
              <w:rPr>
                <w:rFonts w:ascii="Cambria" w:cs="Cambria" w:eastAsia="Cambria" w:hAnsi="Cambria"/>
                <w:b w:val="false"/>
                <w:bCs w:val="false"/>
                <w:i/>
                <w:iCs/>
                <w:color w:val="333333"/>
                <w:sz w:val="19"/>
                <w:szCs w:val="19"/>
              </w:rPr>
              <w:t xml:space="preserve">These are model documents to adapt, not legal advice. State law varies, and a licensed professional should review anything that matters.</w:t>
            </w:r>
          </w:p>
        </w:tc>
      </w:tr>
    </w:tbl>
    <w:p>
      <w:pPr>
        <w:spacing w:after="0"/>
      </w:pPr>
      <w:r>
        <w:rPr>
          <w:rFonts w:ascii="Cambria" w:cs="Cambria" w:eastAsia="Cambria" w:hAnsi="Cambria"/>
          <w:sz w:val="12"/>
          <w:szCs w:val="12"/>
        </w:rPr>
        <w:t xml:space="preserve"/>
      </w:r>
    </w:p>
    <w:p>
      <w:pPr>
        <w:spacing w:after="60" w:before="200"/>
        <w:jc w:val="center"/>
      </w:pPr>
      <w:r>
        <w:rPr>
          <w:rFonts w:ascii="Cambria" w:cs="Cambria" w:eastAsia="Cambria" w:hAnsi="Cambria"/>
          <w:b/>
          <w:bCs/>
          <w:color w:val="000000"/>
          <w:sz w:val="30"/>
          <w:szCs w:val="30"/>
        </w:rPr>
        <w:t xml:space="preserve">OPERATING AGREEMENT</w:t>
      </w:r>
    </w:p>
    <w:p>
      <w:pPr>
        <w:spacing w:after="60" w:before="0"/>
        <w:jc w:val="center"/>
      </w:pPr>
      <w:r>
        <w:rPr>
          <w:rFonts w:ascii="Cambria" w:cs="Cambria" w:eastAsia="Cambria" w:hAnsi="Cambria"/>
          <w:b/>
          <w:bCs/>
          <w:color w:val="000000"/>
          <w:sz w:val="26"/>
          <w:szCs w:val="26"/>
        </w:rPr>
        <w:t xml:space="preserve">OF</w:t>
      </w:r>
    </w:p>
    <w:p>
      <w:pPr>
        <w:spacing w:after="200" w:before="0"/>
        <w:jc w:val="center"/>
      </w:pPr>
      <w:r>
        <w:rPr>
          <w:rFonts w:ascii="Cambria" w:cs="Cambria" w:eastAsia="Cambria" w:hAnsi="Cambria"/>
          <w:b/>
          <w:bCs/>
          <w:color w:val="B03000"/>
          <w:sz w:val="26"/>
          <w:szCs w:val="26"/>
        </w:rPr>
        <w:t xml:space="preserve">[LLC NAME]</w:t>
      </w:r>
      <w:r>
        <w:rPr>
          <w:rFonts w:ascii="Cambria" w:cs="Cambria" w:eastAsia="Cambria" w:hAnsi="Cambria"/>
          <w:b/>
          <w:bCs/>
          <w:color w:val="000000"/>
          <w:sz w:val="26"/>
          <w:szCs w:val="26"/>
        </w:rPr>
        <w:t xml:space="preserve">, A </w:t>
      </w:r>
      <w:r>
        <w:rPr>
          <w:rFonts w:ascii="Cambria" w:cs="Cambria" w:eastAsia="Cambria" w:hAnsi="Cambria"/>
          <w:b/>
          <w:bCs/>
          <w:color w:val="B03000"/>
          <w:sz w:val="26"/>
          <w:szCs w:val="26"/>
        </w:rPr>
        <w:t xml:space="preserve">[STATE]</w:t>
      </w:r>
      <w:r>
        <w:rPr>
          <w:rFonts w:ascii="Cambria" w:cs="Cambria" w:eastAsia="Cambria" w:hAnsi="Cambria"/>
          <w:b/>
          <w:bCs/>
          <w:color w:val="000000"/>
          <w:sz w:val="26"/>
          <w:szCs w:val="26"/>
        </w:rPr>
        <w:t xml:space="preserve"> LIMITED LIABILITY COMPANY</w:t>
      </w:r>
    </w:p>
    <w:p>
      <w:pPr>
        <w:spacing w:after="60" w:before="60"/>
      </w:pPr>
      <w:r>
        <w:rPr>
          <w:rFonts w:ascii="Cambria" w:cs="Cambria" w:eastAsia="Cambria" w:hAnsi="Cambria"/>
          <w:b/>
          <w:bCs/>
          <w:color w:val="1F3864"/>
          <w:sz w:val="20"/>
          <w:szCs w:val="20"/>
        </w:rPr>
        <w:t xml:space="preserve">HOW TO FILL THIS DOCUMENT</w:t>
      </w:r>
    </w:p>
    <w:p>
      <w:pPr>
        <w:spacing w:after="140" w:before="0" w:line="276"/>
      </w:pPr>
      <w:r>
        <w:rPr>
          <w:rFonts w:ascii="Cambria" w:cs="Cambria" w:eastAsia="Cambria" w:hAnsi="Cambria"/>
          <w:b w:val="false"/>
          <w:bCs w:val="false"/>
          <w:color w:val="333333"/>
          <w:sz w:val="18"/>
          <w:szCs w:val="18"/>
        </w:rPr>
        <w:t xml:space="preserve">Replace every bracketed item shown below. The same placeholder always stands for the same value, so one find and replace fills every occurrence in the file. Delete this block before signing.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50"/>
        <w:gridCol w:w="6910"/>
      </w:tblGrid>
      <w:tr>
        <w:trPr>
          <w:tblHeader/>
        </w:trPr>
        <w:tc>
          <w:tcPr>
            <w:tcW w:type="dxa" w:w="0"/>
            <w:tcBorders>
              <w:top w:val="single" w:color="B9B2A2" w:sz="4"/>
              <w:left w:val="single" w:color="B9B2A2" w:sz="4"/>
              <w:bottom w:val="single" w:color="B9B2A2" w:sz="4"/>
              <w:right w:val="single" w:color="B9B2A2" w:sz="4"/>
            </w:tcBorders>
            <w:shd w:fill="E8E4DA" w:color="auto" w:val="clear"/>
            <w:tcMar>
              <w:top w:type="dxa" w:w="60"/>
              <w:left w:type="dxa" w:w="110"/>
              <w:bottom w:type="dxa" w:w="60"/>
              <w:right w:type="dxa" w:w="110"/>
            </w:tcMar>
          </w:tcPr>
          <w:p>
            <w:pPr>
              <w:spacing w:after="0" w:line="240"/>
            </w:pPr>
            <w:r>
              <w:rPr>
                <w:rFonts w:ascii="Cambria" w:cs="Cambria" w:eastAsia="Cambria" w:hAnsi="Cambria"/>
                <w:b/>
                <w:bCs/>
                <w:color w:val="000000"/>
                <w:sz w:val="18"/>
                <w:szCs w:val="18"/>
              </w:rPr>
              <w:t xml:space="preserve">Placeholder</w:t>
            </w:r>
          </w:p>
        </w:tc>
        <w:tc>
          <w:tcPr>
            <w:tcW w:type="dxa" w:w="0"/>
            <w:tcBorders>
              <w:top w:val="single" w:color="B9B2A2" w:sz="4"/>
              <w:left w:val="single" w:color="B9B2A2" w:sz="4"/>
              <w:bottom w:val="single" w:color="B9B2A2" w:sz="4"/>
              <w:right w:val="single" w:color="B9B2A2" w:sz="4"/>
            </w:tcBorders>
            <w:shd w:fill="E8E4DA" w:color="auto" w:val="clear"/>
            <w:tcMar>
              <w:top w:type="dxa" w:w="60"/>
              <w:left w:type="dxa" w:w="110"/>
              <w:bottom w:type="dxa" w:w="60"/>
              <w:right w:type="dxa" w:w="110"/>
            </w:tcMar>
          </w:tcPr>
          <w:p>
            <w:pPr>
              <w:spacing w:after="0" w:line="240"/>
            </w:pPr>
            <w:r>
              <w:rPr>
                <w:rFonts w:ascii="Cambria" w:cs="Cambria" w:eastAsia="Cambria" w:hAnsi="Cambria"/>
                <w:b/>
                <w:bCs/>
                <w:color w:val="000000"/>
                <w:sz w:val="18"/>
                <w:szCs w:val="18"/>
              </w:rPr>
              <w:t xml:space="preserve">What goes in it</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[LLC NAME]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Exact legal name of the LLC as filed with the state</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[STATE]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State of formation, spelled out</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[FILING DATE]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Date the Articles of Organization were filed with the Secretary of State</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[MEMBER A NAME]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Full legal name of the managing member</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[MEMBER B NAME]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Full legal name of the non-managing member</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[AMOUNT A]</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Member A initial capital contribution in dollars, figures only</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[AMOUNT B]</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Member B initial capital contribution in dollars, figures only</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[PERCENTAGE A]</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Member A membership interest, number only, for example 60</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[PERCENTAGE B]</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Member B membership interest, number only, for example 40</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[THRESHOLD]</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Dollar figure above which a debt or an asset sale needs supermajority approval</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[PERIOD]</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Contract length in months above which supermajority approval is needed</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[BUYOUT DAYS]</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Days allowed to complete a buyout after a Triggering Event</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[VALUATION DAYS]</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Days the members have to agree a value before the formula applies</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[FORMULA]</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The valuation formula, for example three times the trailing twelve month EBITDA</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[CITY, STATE]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City and state where an arbitration is held</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[DEADLOCK DAYS]</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Days a deadlock must persist before a member may invoke the buy-sell trigger</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[CASH OR ACCRUAL]</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Accounting method, cash or accrual</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[INSPECTION NOTICE DAYS]</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Days of written notice a member gives before inspecting the books</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[REPORTING DAYS]</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Days after fiscal year end by which the Manager delivers the annual statement and K-1</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[PRIMARY BUSINESS]</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Short description of the business, used to define what counts as competitive</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[SUCCESSOR APPOINTMENT DAYS]</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Days to appoint a successor Manager after the Manager dies or loses capacity</w:t>
            </w:r>
          </w:p>
        </w:tc>
      </w:tr>
    </w:tbl>
    <w:p>
      <w:pPr>
        <w:pBdr>
          <w:bottom w:val="single" w:color="1F3864" w:sz="8" w:space="6"/>
        </w:pBdr>
        <w:spacing w:after="240"/>
      </w:pPr>
      <w:r>
        <w:rPr>
          <w:rFonts w:ascii="Cambria" w:cs="Cambria" w:eastAsia="Cambria" w:hAnsi="Cambria"/>
          <w:sz w:val="14"/>
          <w:szCs w:val="14"/>
        </w:rPr>
        <w:t xml:space="preserve"/>
      </w:r>
    </w:p>
    <w:p>
      <w:pPr>
        <w:pStyle w:val="Heading1"/>
        <w:keepNext/>
        <w:pBdr>
          <w:bottom w:val="single" w:color="B9B2A2" w:sz="4" w:space="4"/>
        </w:pBdr>
        <w:spacing w:after="140" w:before="300"/>
      </w:pPr>
      <w:r>
        <w:rPr>
          <w:rFonts w:ascii="Cambria" w:cs="Cambria" w:eastAsia="Cambria" w:hAnsi="Cambria"/>
          <w:b/>
          <w:bCs/>
          <w:color w:val="1F3864"/>
          <w:sz w:val="24"/>
          <w:szCs w:val="24"/>
        </w:rPr>
        <w:t xml:space="preserve">ARTICLE 1. FORMATION, MEMBERS, AND MANAGEMENT</w:t>
      </w:r>
    </w:p>
    <w:p>
      <w:pPr>
        <w:tabs>
          <w:tab w:val="left" w:pos="792"/>
        </w:tabs>
        <w:spacing w:after="140" w:line="276"/>
        <w:ind w:left="792" w:hanging="792"/>
      </w:pPr>
      <w:r>
        <w:rPr>
          <w:rFonts w:ascii="Cambria" w:cs="Cambria" w:eastAsia="Cambria" w:hAnsi="Cambria"/>
          <w:b/>
          <w:bCs/>
        </w:rPr>
        <w:t xml:space="preserve">1.1</w:t>
      </w:r>
      <w:r>
        <w:tab/>
      </w:r>
      <w:r>
        <w:rPr>
          <w:rFonts w:ascii="Cambria" w:cs="Cambria" w:eastAsia="Cambria" w:hAnsi="Cambria"/>
          <w:b/>
          <w:bCs/>
          <w:color w:val="000000"/>
        </w:rPr>
        <w:t xml:space="preserve">Formation. </w:t>
      </w:r>
      <w:r>
        <w:rPr>
          <w:rFonts w:ascii="Cambria" w:cs="Cambria" w:eastAsia="Cambria" w:hAnsi="Cambria"/>
          <w:b/>
          <w:bCs/>
          <w:color w:val="B03000"/>
        </w:rPr>
        <w:t xml:space="preserve">[LLC NAME]</w:t>
      </w:r>
      <w:r>
        <w:rPr>
          <w:rFonts w:ascii="Cambria" w:cs="Cambria" w:eastAsia="Cambria" w:hAnsi="Cambria"/>
          <w:b w:val="false"/>
          <w:bCs w:val="false"/>
          <w:color w:val="000000"/>
        </w:rPr>
        <w:t xml:space="preserve"> ("Company") is organized as a limited liability company under the laws of the State of </w:t>
      </w:r>
      <w:r>
        <w:rPr>
          <w:rFonts w:ascii="Cambria" w:cs="Cambria" w:eastAsia="Cambria" w:hAnsi="Cambria"/>
          <w:b/>
          <w:bCs/>
          <w:color w:val="B03000"/>
        </w:rPr>
        <w:t xml:space="preserve">[STATE]</w:t>
      </w:r>
      <w:r>
        <w:rPr>
          <w:rFonts w:ascii="Cambria" w:cs="Cambria" w:eastAsia="Cambria" w:hAnsi="Cambria"/>
          <w:b w:val="false"/>
          <w:bCs w:val="false"/>
          <w:color w:val="000000"/>
        </w:rPr>
        <w:t xml:space="preserve">, pursuant to Articles of Organization filed with the </w:t>
      </w:r>
      <w:r>
        <w:rPr>
          <w:rFonts w:ascii="Cambria" w:cs="Cambria" w:eastAsia="Cambria" w:hAnsi="Cambria"/>
          <w:b/>
          <w:bCs/>
          <w:color w:val="B03000"/>
        </w:rPr>
        <w:t xml:space="preserve">[STATE]</w:t>
      </w:r>
      <w:r>
        <w:rPr>
          <w:rFonts w:ascii="Cambria" w:cs="Cambria" w:eastAsia="Cambria" w:hAnsi="Cambria"/>
          <w:b w:val="false"/>
          <w:bCs w:val="false"/>
          <w:color w:val="000000"/>
        </w:rPr>
        <w:t xml:space="preserve"> Secretary of State on </w:t>
      </w:r>
      <w:r>
        <w:rPr>
          <w:rFonts w:ascii="Cambria" w:cs="Cambria" w:eastAsia="Cambria" w:hAnsi="Cambria"/>
          <w:b/>
          <w:bCs/>
          <w:color w:val="B03000"/>
        </w:rPr>
        <w:t xml:space="preserve">[FILING DATE]</w:t>
      </w:r>
      <w:r>
        <w:rPr>
          <w:rFonts w:ascii="Cambria" w:cs="Cambria" w:eastAsia="Cambria" w:hAnsi="Cambria"/>
          <w:b w:val="false"/>
          <w:bCs w:val="false"/>
          <w:color w:val="000000"/>
        </w:rPr>
        <w:t xml:space="preserve">.</w:t>
      </w:r>
    </w:p>
    <w:p>
      <w:pPr>
        <w:tabs>
          <w:tab w:val="left" w:pos="792"/>
        </w:tabs>
        <w:spacing w:after="140" w:line="276"/>
        <w:ind w:left="792" w:hanging="792"/>
      </w:pPr>
      <w:r>
        <w:rPr>
          <w:rFonts w:ascii="Cambria" w:cs="Cambria" w:eastAsia="Cambria" w:hAnsi="Cambria"/>
          <w:b/>
          <w:bCs/>
        </w:rPr>
        <w:t xml:space="preserve">1.2</w:t>
      </w:r>
      <w:r>
        <w:tab/>
      </w:r>
      <w:r>
        <w:rPr>
          <w:rFonts w:ascii="Cambria" w:cs="Cambria" w:eastAsia="Cambria" w:hAnsi="Cambria"/>
          <w:b/>
          <w:bCs/>
          <w:color w:val="000000"/>
        </w:rPr>
        <w:t xml:space="preserve">Members. </w:t>
      </w:r>
      <w:r>
        <w:rPr>
          <w:rFonts w:ascii="Cambria" w:cs="Cambria" w:eastAsia="Cambria" w:hAnsi="Cambria"/>
          <w:b w:val="false"/>
          <w:bCs w:val="false"/>
          <w:color w:val="000000"/>
        </w:rPr>
        <w:t xml:space="preserve">The initial Members of the Company are as follows: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tcBorders>
              <w:top w:val="single" w:color="B9B2A2" w:sz="4"/>
              <w:left w:val="single" w:color="B9B2A2" w:sz="4"/>
              <w:bottom w:val="single" w:color="B9B2A2" w:sz="4"/>
              <w:right w:val="single" w:color="B9B2A2" w:sz="4"/>
            </w:tcBorders>
            <w:shd w:fill="E8E4DA" w:color="auto" w:val="clear"/>
            <w:tcMar>
              <w:top w:type="dxa" w:w="60"/>
              <w:left w:type="dxa" w:w="110"/>
              <w:bottom w:type="dxa" w:w="60"/>
              <w:right w:type="dxa" w:w="110"/>
            </w:tcMar>
          </w:tcPr>
          <w:p>
            <w:pPr>
              <w:spacing w:after="0" w:line="240"/>
            </w:pPr>
            <w:r>
              <w:rPr>
                <w:rFonts w:ascii="Cambria" w:cs="Cambria" w:eastAsia="Cambria" w:hAnsi="Cambria"/>
                <w:b/>
                <w:bCs/>
                <w:color w:val="000000"/>
                <w:sz w:val="19"/>
                <w:szCs w:val="19"/>
              </w:rPr>
              <w:t xml:space="preserve">Member Name</w:t>
            </w:r>
          </w:p>
        </w:tc>
        <w:tc>
          <w:tcPr>
            <w:tcW w:type="dxa" w:w="2340"/>
            <w:tcBorders>
              <w:top w:val="single" w:color="B9B2A2" w:sz="4"/>
              <w:left w:val="single" w:color="B9B2A2" w:sz="4"/>
              <w:bottom w:val="single" w:color="B9B2A2" w:sz="4"/>
              <w:right w:val="single" w:color="B9B2A2" w:sz="4"/>
            </w:tcBorders>
            <w:shd w:fill="E8E4DA" w:color="auto" w:val="clear"/>
            <w:tcMar>
              <w:top w:type="dxa" w:w="60"/>
              <w:left w:type="dxa" w:w="110"/>
              <w:bottom w:type="dxa" w:w="60"/>
              <w:right w:type="dxa" w:w="110"/>
            </w:tcMar>
          </w:tcPr>
          <w:p>
            <w:pPr>
              <w:spacing w:after="0" w:line="240"/>
            </w:pPr>
            <w:r>
              <w:rPr>
                <w:rFonts w:ascii="Cambria" w:cs="Cambria" w:eastAsia="Cambria" w:hAnsi="Cambria"/>
                <w:b/>
                <w:bCs/>
                <w:color w:val="000000"/>
                <w:sz w:val="19"/>
                <w:szCs w:val="19"/>
              </w:rPr>
              <w:t xml:space="preserve">Initial Capital Contribution</w:t>
            </w:r>
          </w:p>
        </w:tc>
        <w:tc>
          <w:tcPr>
            <w:tcW w:type="dxa" w:w="2340"/>
            <w:tcBorders>
              <w:top w:val="single" w:color="B9B2A2" w:sz="4"/>
              <w:left w:val="single" w:color="B9B2A2" w:sz="4"/>
              <w:bottom w:val="single" w:color="B9B2A2" w:sz="4"/>
              <w:right w:val="single" w:color="B9B2A2" w:sz="4"/>
            </w:tcBorders>
            <w:shd w:fill="E8E4DA" w:color="auto" w:val="clear"/>
            <w:tcMar>
              <w:top w:type="dxa" w:w="60"/>
              <w:left w:type="dxa" w:w="110"/>
              <w:bottom w:type="dxa" w:w="60"/>
              <w:right w:type="dxa" w:w="110"/>
            </w:tcMar>
          </w:tcPr>
          <w:p>
            <w:pPr>
              <w:spacing w:after="0" w:line="240"/>
            </w:pPr>
            <w:r>
              <w:rPr>
                <w:rFonts w:ascii="Cambria" w:cs="Cambria" w:eastAsia="Cambria" w:hAnsi="Cambria"/>
                <w:b/>
                <w:bCs/>
                <w:color w:val="000000"/>
                <w:sz w:val="19"/>
                <w:szCs w:val="19"/>
              </w:rPr>
              <w:t xml:space="preserve">Membership Interest</w:t>
            </w:r>
          </w:p>
        </w:tc>
        <w:tc>
          <w:tcPr>
            <w:tcW w:type="dxa" w:w="2340"/>
            <w:tcBorders>
              <w:top w:val="single" w:color="B9B2A2" w:sz="4"/>
              <w:left w:val="single" w:color="B9B2A2" w:sz="4"/>
              <w:bottom w:val="single" w:color="B9B2A2" w:sz="4"/>
              <w:right w:val="single" w:color="B9B2A2" w:sz="4"/>
            </w:tcBorders>
            <w:shd w:fill="E8E4DA" w:color="auto" w:val="clear"/>
            <w:tcMar>
              <w:top w:type="dxa" w:w="60"/>
              <w:left w:type="dxa" w:w="110"/>
              <w:bottom w:type="dxa" w:w="60"/>
              <w:right w:type="dxa" w:w="110"/>
            </w:tcMar>
          </w:tcPr>
          <w:p>
            <w:pPr>
              <w:spacing w:after="0" w:line="240"/>
            </w:pPr>
            <w:r>
              <w:rPr>
                <w:rFonts w:ascii="Cambria" w:cs="Cambria" w:eastAsia="Cambria" w:hAnsi="Cambria"/>
                <w:b/>
                <w:bCs/>
                <w:color w:val="000000"/>
                <w:sz w:val="19"/>
                <w:szCs w:val="19"/>
              </w:rPr>
              <w:t xml:space="preserve">Role</w:t>
            </w:r>
          </w:p>
        </w:tc>
      </w:tr>
      <w:tr>
        <w:trPr>
          <w:tblHeader w:val="false"/>
        </w:trPr>
        <w:tc>
          <w:tcPr>
            <w:tcW w:type="dxa" w:w="234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9"/>
                <w:szCs w:val="19"/>
              </w:rPr>
              <w:t xml:space="preserve">[MEMBER A NAME]</w:t>
            </w:r>
          </w:p>
        </w:tc>
        <w:tc>
          <w:tcPr>
            <w:tcW w:type="dxa" w:w="234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9"/>
                <w:szCs w:val="19"/>
              </w:rPr>
              <w:t xml:space="preserve">$</w:t>
            </w:r>
            <w:r>
              <w:rPr>
                <w:rFonts w:ascii="Cambria" w:cs="Cambria" w:eastAsia="Cambria" w:hAnsi="Cambria"/>
                <w:b/>
                <w:bCs/>
                <w:color w:val="B03000"/>
                <w:sz w:val="19"/>
                <w:szCs w:val="19"/>
              </w:rPr>
              <w:t xml:space="preserve">[AMOUNT A]</w:t>
            </w:r>
          </w:p>
        </w:tc>
        <w:tc>
          <w:tcPr>
            <w:tcW w:type="dxa" w:w="234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9"/>
                <w:szCs w:val="19"/>
              </w:rPr>
              <w:t xml:space="preserve">[PERCENTAGE A]</w:t>
            </w:r>
            <w:r>
              <w:rPr>
                <w:rFonts w:ascii="Cambria" w:cs="Cambria" w:eastAsia="Cambria" w:hAnsi="Cambria"/>
                <w:b w:val="false"/>
                <w:bCs w:val="false"/>
                <w:color w:val="000000"/>
                <w:sz w:val="19"/>
                <w:szCs w:val="19"/>
              </w:rPr>
              <w:t xml:space="preserve">%</w:t>
            </w:r>
          </w:p>
        </w:tc>
        <w:tc>
          <w:tcPr>
            <w:tcW w:type="dxa" w:w="234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9"/>
                <w:szCs w:val="19"/>
              </w:rPr>
              <w:t xml:space="preserve">Managing Member</w:t>
            </w:r>
          </w:p>
        </w:tc>
      </w:tr>
      <w:tr>
        <w:trPr>
          <w:tblHeader w:val="false"/>
        </w:trPr>
        <w:tc>
          <w:tcPr>
            <w:tcW w:type="dxa" w:w="234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9"/>
                <w:szCs w:val="19"/>
              </w:rPr>
              <w:t xml:space="preserve">[MEMBER B NAME]</w:t>
            </w:r>
          </w:p>
        </w:tc>
        <w:tc>
          <w:tcPr>
            <w:tcW w:type="dxa" w:w="234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9"/>
                <w:szCs w:val="19"/>
              </w:rPr>
              <w:t xml:space="preserve">$</w:t>
            </w:r>
            <w:r>
              <w:rPr>
                <w:rFonts w:ascii="Cambria" w:cs="Cambria" w:eastAsia="Cambria" w:hAnsi="Cambria"/>
                <w:b/>
                <w:bCs/>
                <w:color w:val="B03000"/>
                <w:sz w:val="19"/>
                <w:szCs w:val="19"/>
              </w:rPr>
              <w:t xml:space="preserve">[AMOUNT B]</w:t>
            </w:r>
          </w:p>
        </w:tc>
        <w:tc>
          <w:tcPr>
            <w:tcW w:type="dxa" w:w="234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9"/>
                <w:szCs w:val="19"/>
              </w:rPr>
              <w:t xml:space="preserve">[PERCENTAGE B]</w:t>
            </w:r>
            <w:r>
              <w:rPr>
                <w:rFonts w:ascii="Cambria" w:cs="Cambria" w:eastAsia="Cambria" w:hAnsi="Cambria"/>
                <w:b w:val="false"/>
                <w:bCs w:val="false"/>
                <w:color w:val="000000"/>
                <w:sz w:val="19"/>
                <w:szCs w:val="19"/>
              </w:rPr>
              <w:t xml:space="preserve">%</w:t>
            </w:r>
          </w:p>
        </w:tc>
        <w:tc>
          <w:tcPr>
            <w:tcW w:type="dxa" w:w="234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9"/>
                <w:szCs w:val="19"/>
              </w:rPr>
              <w:t xml:space="preserve">Non-Managing Member</w:t>
            </w:r>
          </w:p>
        </w:tc>
      </w:tr>
    </w:tbl>
    <w:p>
      <w:pPr>
        <w:spacing w:after="120" w:before="0" w:line="276"/>
      </w:pPr>
      <w:r>
        <w:rPr>
          <w:rFonts w:ascii="Cambria" w:cs="Cambria" w:eastAsia="Cambria" w:hAnsi="Cambria"/>
        </w:rPr>
        <w:t xml:space="preserve"/>
      </w:r>
    </w:p>
    <w:p>
      <w:pPr>
        <w:tabs>
          <w:tab w:val="left" w:pos="792"/>
        </w:tabs>
        <w:spacing w:after="140" w:line="276"/>
        <w:ind w:left="792" w:hanging="792"/>
      </w:pPr>
      <w:r>
        <w:rPr>
          <w:rFonts w:ascii="Cambria" w:cs="Cambria" w:eastAsia="Cambria" w:hAnsi="Cambria"/>
          <w:b/>
          <w:bCs/>
        </w:rPr>
        <w:t xml:space="preserve">1.3</w:t>
      </w:r>
      <w:r>
        <w:tab/>
      </w:r>
      <w:r>
        <w:rPr>
          <w:rFonts w:ascii="Cambria" w:cs="Cambria" w:eastAsia="Cambria" w:hAnsi="Cambria"/>
          <w:b/>
          <w:bCs/>
          <w:color w:val="000000"/>
        </w:rPr>
        <w:t xml:space="preserve">Management Structure. </w:t>
      </w:r>
      <w:r>
        <w:rPr>
          <w:rFonts w:ascii="Cambria" w:cs="Cambria" w:eastAsia="Cambria" w:hAnsi="Cambria"/>
          <w:b w:val="false"/>
          <w:bCs w:val="false"/>
          <w:color w:val="000000"/>
        </w:rPr>
        <w:t xml:space="preserve">The Company shall be Manager-Managed. </w:t>
      </w:r>
      <w:r>
        <w:rPr>
          <w:rFonts w:ascii="Cambria" w:cs="Cambria" w:eastAsia="Cambria" w:hAnsi="Cambria"/>
          <w:b/>
          <w:bCs/>
          <w:color w:val="B03000"/>
        </w:rPr>
        <w:t xml:space="preserve">[MEMBER A NAME]</w:t>
      </w:r>
      <w:r>
        <w:rPr>
          <w:rFonts w:ascii="Cambria" w:cs="Cambria" w:eastAsia="Cambria" w:hAnsi="Cambria"/>
          <w:b w:val="false"/>
          <w:bCs w:val="false"/>
          <w:color w:val="000000"/>
        </w:rPr>
        <w:t xml:space="preserve"> ("Manager") is hereby appointed as the initial Manager of the Company. The Manager shall have authority to manage the day-to-day operations of the Company as set forth in Article 3.</w:t>
      </w:r>
    </w:p>
    <w:p>
      <w:pPr>
        <w:pStyle w:val="Heading1"/>
        <w:keepNext/>
        <w:pBdr>
          <w:bottom w:val="single" w:color="B9B2A2" w:sz="4" w:space="4"/>
        </w:pBdr>
        <w:spacing w:after="140" w:before="300"/>
      </w:pPr>
      <w:r>
        <w:rPr>
          <w:rFonts w:ascii="Cambria" w:cs="Cambria" w:eastAsia="Cambria" w:hAnsi="Cambria"/>
          <w:b/>
          <w:bCs/>
          <w:color w:val="1F3864"/>
          <w:sz w:val="24"/>
          <w:szCs w:val="24"/>
        </w:rPr>
        <w:t xml:space="preserve">ARTICLE 2. CAPITAL CONTRIBUTIONS, ALLOCATIONS, AND DISTRIBUTIONS</w:t>
      </w:r>
    </w:p>
    <w:p>
      <w:pPr>
        <w:tabs>
          <w:tab w:val="left" w:pos="792"/>
        </w:tabs>
        <w:spacing w:after="140" w:line="276"/>
        <w:ind w:left="792" w:hanging="792"/>
      </w:pPr>
      <w:r>
        <w:rPr>
          <w:rFonts w:ascii="Cambria" w:cs="Cambria" w:eastAsia="Cambria" w:hAnsi="Cambria"/>
          <w:b/>
          <w:bCs/>
        </w:rPr>
        <w:t xml:space="preserve">2.1</w:t>
      </w:r>
      <w:r>
        <w:tab/>
      </w:r>
      <w:r>
        <w:rPr>
          <w:rFonts w:ascii="Cambria" w:cs="Cambria" w:eastAsia="Cambria" w:hAnsi="Cambria"/>
          <w:b/>
          <w:bCs/>
          <w:color w:val="000000"/>
        </w:rPr>
        <w:t xml:space="preserve">Capital Accounts. </w:t>
      </w:r>
      <w:r>
        <w:rPr>
          <w:rFonts w:ascii="Cambria" w:cs="Cambria" w:eastAsia="Cambria" w:hAnsi="Cambria"/>
          <w:b w:val="false"/>
          <w:bCs w:val="false"/>
          <w:color w:val="000000"/>
        </w:rPr>
        <w:t xml:space="preserve">The Company shall maintain a separate Capital Account for each Member, crediting each Member's account with their initial capital contribution, any additional contributions, and their allocated share of Company profits; and debiting each Member's account with their allocated share of Company losses and any distributions received.</w:t>
      </w:r>
    </w:p>
    <w:p>
      <w:pPr>
        <w:tabs>
          <w:tab w:val="left" w:pos="792"/>
        </w:tabs>
        <w:spacing w:after="140" w:line="276"/>
        <w:ind w:left="792" w:hanging="792"/>
      </w:pPr>
      <w:r>
        <w:rPr>
          <w:rFonts w:ascii="Cambria" w:cs="Cambria" w:eastAsia="Cambria" w:hAnsi="Cambria"/>
          <w:b/>
          <w:bCs/>
        </w:rPr>
        <w:t xml:space="preserve">2.2</w:t>
      </w:r>
      <w:r>
        <w:tab/>
      </w:r>
      <w:r>
        <w:rPr>
          <w:rFonts w:ascii="Cambria" w:cs="Cambria" w:eastAsia="Cambria" w:hAnsi="Cambria"/>
          <w:b/>
          <w:bCs/>
          <w:color w:val="000000"/>
        </w:rPr>
        <w:t xml:space="preserve">Profit and Loss Allocations. </w:t>
      </w:r>
      <w:r>
        <w:rPr>
          <w:rFonts w:ascii="Cambria" w:cs="Cambria" w:eastAsia="Cambria" w:hAnsi="Cambria"/>
          <w:b w:val="false"/>
          <w:bCs w:val="false"/>
          <w:color w:val="000000"/>
        </w:rPr>
        <w:t xml:space="preserve">Unless otherwise agreed by the Members in a duly executed written amendment to this Agreement, Company profits and losses shall be allocated as follows:</w:t>
      </w:r>
    </w:p>
    <w:p>
      <w:pPr>
        <w:tabs>
          <w:tab w:val="left" w:pos="5184"/>
        </w:tabs>
        <w:spacing w:after="140" w:line="276"/>
        <w:ind w:left="792"/>
      </w:pPr>
      <w:r>
        <w:rPr>
          <w:rFonts w:ascii="Cambria" w:cs="Cambria" w:eastAsia="Cambria" w:hAnsi="Cambria"/>
          <w:b/>
          <w:bCs/>
          <w:color w:val="B03000"/>
        </w:rPr>
        <w:t xml:space="preserve">[MEMBER A NAME]</w:t>
      </w:r>
      <w:r>
        <w:rPr>
          <w:rFonts w:ascii="Cambria" w:cs="Cambria" w:eastAsia="Cambria" w:hAnsi="Cambria"/>
          <w:b w:val="false"/>
          <w:bCs w:val="false"/>
          <w:color w:val="000000"/>
        </w:rPr>
        <w:t xml:space="preserve">: </w:t>
      </w:r>
      <w:r>
        <w:rPr>
          <w:rFonts w:ascii="Cambria" w:cs="Cambria" w:eastAsia="Cambria" w:hAnsi="Cambria"/>
          <w:b/>
          <w:bCs/>
          <w:color w:val="B03000"/>
        </w:rPr>
        <w:t xml:space="preserve">[PERCENTAGE A]</w:t>
      </w:r>
      <w:r>
        <w:rPr>
          <w:rFonts w:ascii="Cambria" w:cs="Cambria" w:eastAsia="Cambria" w:hAnsi="Cambria"/>
          <w:b w:val="false"/>
          <w:bCs w:val="false"/>
          <w:color w:val="000000"/>
        </w:rPr>
        <w:t xml:space="preserve">%</w:t>
      </w:r>
      <w:r>
        <w:tab/>
      </w:r>
      <w:r>
        <w:rPr>
          <w:rFonts w:ascii="Cambria" w:cs="Cambria" w:eastAsia="Cambria" w:hAnsi="Cambria"/>
          <w:b/>
          <w:bCs/>
          <w:color w:val="B03000"/>
        </w:rPr>
        <w:t xml:space="preserve">[MEMBER B NAME]</w:t>
      </w:r>
      <w:r>
        <w:rPr>
          <w:rFonts w:ascii="Cambria" w:cs="Cambria" w:eastAsia="Cambria" w:hAnsi="Cambria"/>
          <w:b w:val="false"/>
          <w:bCs w:val="false"/>
          <w:color w:val="000000"/>
        </w:rPr>
        <w:t xml:space="preserve">: </w:t>
      </w:r>
      <w:r>
        <w:rPr>
          <w:rFonts w:ascii="Cambria" w:cs="Cambria" w:eastAsia="Cambria" w:hAnsi="Cambria"/>
          <w:b/>
          <w:bCs/>
          <w:color w:val="B03000"/>
        </w:rPr>
        <w:t xml:space="preserve">[PERCENTAGE B]</w:t>
      </w:r>
      <w:r>
        <w:rPr>
          <w:rFonts w:ascii="Cambria" w:cs="Cambria" w:eastAsia="Cambria" w:hAnsi="Cambria"/>
          <w:b w:val="false"/>
          <w:bCs w:val="false"/>
          <w:color w:val="000000"/>
        </w:rPr>
        <w:t xml:space="preserve">%</w:t>
      </w:r>
    </w:p>
    <w:p>
      <w:pPr>
        <w:tabs>
          <w:tab w:val="left" w:pos="792"/>
        </w:tabs>
        <w:spacing w:after="140" w:line="276"/>
        <w:ind w:left="792" w:hanging="792"/>
      </w:pPr>
      <w:r>
        <w:rPr>
          <w:rFonts w:ascii="Cambria" w:cs="Cambria" w:eastAsia="Cambria" w:hAnsi="Cambria"/>
          <w:b/>
          <w:bCs/>
        </w:rPr>
        <w:t xml:space="preserve">2.3</w:t>
      </w:r>
      <w:r>
        <w:tab/>
      </w:r>
      <w:r>
        <w:rPr>
          <w:rFonts w:ascii="Cambria" w:cs="Cambria" w:eastAsia="Cambria" w:hAnsi="Cambria"/>
          <w:b/>
          <w:bCs/>
          <w:color w:val="000000"/>
        </w:rPr>
        <w:t xml:space="preserve">Tax Distribution. </w:t>
      </w:r>
      <w:r>
        <w:rPr>
          <w:rFonts w:ascii="Cambria" w:cs="Cambria" w:eastAsia="Cambria" w:hAnsi="Cambria"/>
          <w:b w:val="false"/>
          <w:bCs w:val="false"/>
          <w:color w:val="000000"/>
        </w:rPr>
        <w:t xml:space="preserve">The Company shall distribute to each Member, no later than 30 days before each federal estimated tax payment deadline, an amount equal to the product of (a) such Member's allocated share of the Company's net taxable income for the relevant period, multiplied by (b) the sum of the highest applicable combined federal, state, and local marginal income tax rates applicable to such Member ("Tax Rate"), as reasonably estimated by the Manager. Such Tax Distributions shall be offset against the next regular distribution due to such Member.</w:t>
      </w:r>
    </w:p>
    <w:p>
      <w:pPr>
        <w:tabs>
          <w:tab w:val="left" w:pos="792"/>
        </w:tabs>
        <w:spacing w:after="140" w:line="276"/>
        <w:ind w:left="792" w:hanging="792"/>
      </w:pPr>
      <w:r>
        <w:rPr>
          <w:rFonts w:ascii="Cambria" w:cs="Cambria" w:eastAsia="Cambria" w:hAnsi="Cambria"/>
          <w:b/>
          <w:bCs/>
        </w:rPr>
        <w:t xml:space="preserve">2.4</w:t>
      </w:r>
      <w:r>
        <w:tab/>
      </w:r>
      <w:r>
        <w:rPr>
          <w:rFonts w:ascii="Cambria" w:cs="Cambria" w:eastAsia="Cambria" w:hAnsi="Cambria"/>
          <w:b/>
          <w:bCs/>
          <w:color w:val="000000"/>
        </w:rPr>
        <w:t xml:space="preserve">Regular Distributions. </w:t>
      </w:r>
      <w:r>
        <w:rPr>
          <w:rFonts w:ascii="Cambria" w:cs="Cambria" w:eastAsia="Cambria" w:hAnsi="Cambria"/>
          <w:b w:val="false"/>
          <w:bCs w:val="false"/>
          <w:color w:val="000000"/>
        </w:rPr>
        <w:t xml:space="preserve">Subject to Section 2.3 and the solvency requirements of Section 2.5, the Manager may, in their discretion, cause the Company to make distributions to the Members in proportion to their respective Membership Interests at such times and in such amounts as the Manager determines.</w:t>
      </w:r>
    </w:p>
    <w:p>
      <w:pPr>
        <w:tabs>
          <w:tab w:val="left" w:pos="792"/>
        </w:tabs>
        <w:spacing w:after="140" w:line="276"/>
        <w:ind w:left="792" w:hanging="792"/>
      </w:pPr>
      <w:r>
        <w:rPr>
          <w:rFonts w:ascii="Cambria" w:cs="Cambria" w:eastAsia="Cambria" w:hAnsi="Cambria"/>
          <w:b/>
          <w:bCs/>
        </w:rPr>
        <w:t xml:space="preserve">2.5</w:t>
      </w:r>
      <w:r>
        <w:tab/>
      </w:r>
      <w:r>
        <w:rPr>
          <w:rFonts w:ascii="Cambria" w:cs="Cambria" w:eastAsia="Cambria" w:hAnsi="Cambria"/>
          <w:b/>
          <w:bCs/>
          <w:color w:val="000000"/>
        </w:rPr>
        <w:t xml:space="preserve">Restriction on Distributions. </w:t>
      </w:r>
      <w:r>
        <w:rPr>
          <w:rFonts w:ascii="Cambria" w:cs="Cambria" w:eastAsia="Cambria" w:hAnsi="Cambria"/>
          <w:b w:val="false"/>
          <w:bCs w:val="false"/>
          <w:color w:val="000000"/>
        </w:rPr>
        <w:t xml:space="preserve">No distribution shall be made if, after giving effect to such distribution, (a) the Company would be unable to pay its debts as they become due in the ordinary course of business; or (b) the Company's total assets would be less than the sum of its total liabilities.</w:t>
      </w:r>
    </w:p>
    <w:p>
      <w:pPr>
        <w:pStyle w:val="Heading1"/>
        <w:keepNext/>
        <w:pBdr>
          <w:bottom w:val="single" w:color="B9B2A2" w:sz="4" w:space="4"/>
        </w:pBdr>
        <w:spacing w:after="140" w:before="300"/>
      </w:pPr>
      <w:r>
        <w:rPr>
          <w:rFonts w:ascii="Cambria" w:cs="Cambria" w:eastAsia="Cambria" w:hAnsi="Cambria"/>
          <w:b/>
          <w:bCs/>
          <w:color w:val="1F3864"/>
          <w:sz w:val="24"/>
          <w:szCs w:val="24"/>
        </w:rPr>
        <w:t xml:space="preserve">ARTICLE 3. MANAGEMENT, AUTHORITY, AND VOTING</w:t>
      </w:r>
    </w:p>
    <w:p>
      <w:pPr>
        <w:tabs>
          <w:tab w:val="left" w:pos="792"/>
        </w:tabs>
        <w:spacing w:after="140" w:line="276"/>
        <w:ind w:left="792" w:hanging="792"/>
      </w:pPr>
      <w:r>
        <w:rPr>
          <w:rFonts w:ascii="Cambria" w:cs="Cambria" w:eastAsia="Cambria" w:hAnsi="Cambria"/>
          <w:b/>
          <w:bCs/>
        </w:rPr>
        <w:t xml:space="preserve">3.1</w:t>
      </w:r>
      <w:r>
        <w:tab/>
      </w:r>
      <w:r>
        <w:rPr>
          <w:rFonts w:ascii="Cambria" w:cs="Cambria" w:eastAsia="Cambria" w:hAnsi="Cambria"/>
          <w:b/>
          <w:bCs/>
          <w:color w:val="000000"/>
        </w:rPr>
        <w:t xml:space="preserve">Manager Authority. </w:t>
      </w:r>
      <w:r>
        <w:rPr>
          <w:rFonts w:ascii="Cambria" w:cs="Cambria" w:eastAsia="Cambria" w:hAnsi="Cambria"/>
          <w:b w:val="false"/>
          <w:bCs w:val="false"/>
          <w:color w:val="000000"/>
        </w:rPr>
        <w:t xml:space="preserve">The Manager shall have full authority to manage the day-to-day business and affairs of the Company, including the authority to: (a) execute contracts and agreements on behalf of the Company; (b) open and manage Company bank accounts; (c) hire and discharge employees and independent contractors; (d) make capital expenditures in the ordinary course of business; and (e) take all other actions necessary for the conduct of the Company's business, subject to the limitations set forth in Section 3.2.</w:t>
      </w:r>
    </w:p>
    <w:p>
      <w:pPr>
        <w:tabs>
          <w:tab w:val="left" w:pos="792"/>
        </w:tabs>
        <w:spacing w:after="140" w:line="276"/>
        <w:ind w:left="792" w:hanging="792"/>
      </w:pPr>
      <w:r>
        <w:rPr>
          <w:rFonts w:ascii="Cambria" w:cs="Cambria" w:eastAsia="Cambria" w:hAnsi="Cambria"/>
          <w:b/>
          <w:bCs/>
        </w:rPr>
        <w:t xml:space="preserve">3.2</w:t>
      </w:r>
      <w:r>
        <w:tab/>
      </w:r>
      <w:r>
        <w:rPr>
          <w:rFonts w:ascii="Cambria" w:cs="Cambria" w:eastAsia="Cambria" w:hAnsi="Cambria"/>
          <w:b/>
          <w:bCs/>
          <w:color w:val="000000"/>
        </w:rPr>
        <w:t xml:space="preserve">Member Approval Required. </w:t>
      </w:r>
      <w:r>
        <w:rPr>
          <w:rFonts w:ascii="Cambria" w:cs="Cambria" w:eastAsia="Cambria" w:hAnsi="Cambria"/>
          <w:b w:val="false"/>
          <w:bCs w:val="false"/>
          <w:color w:val="000000"/>
        </w:rPr>
        <w:t xml:space="preserve">Notwithstanding the Manager's general authority, the following actions shall require the written approval of Members holding the specified percentage of Membership Interests:</w:t>
      </w:r>
    </w:p>
    <w:p>
      <w:pPr>
        <w:spacing w:after="90" w:before="120" w:line="276"/>
        <w:ind w:left="792"/>
      </w:pPr>
      <w:r>
        <w:rPr>
          <w:rFonts w:ascii="Cambria" w:cs="Cambria" w:eastAsia="Cambria" w:hAnsi="Cambria"/>
          <w:b/>
          <w:bCs/>
          <w:color w:val="000000"/>
        </w:rPr>
        <w:t xml:space="preserve">Actions Requiring Supermajority (66.7% or more):</w:t>
      </w:r>
    </w:p>
    <w:p>
      <w:pPr>
        <w:spacing w:after="90" w:before="0" w:line="276"/>
        <w:ind w:left="1224" w:hanging="431"/>
      </w:pPr>
      <w:r>
        <w:rPr>
          <w:rFonts w:ascii="Cambria" w:cs="Cambria" w:eastAsia="Cambria" w:hAnsi="Cambria"/>
          <w:b w:val="false"/>
          <w:bCs w:val="false"/>
          <w:color w:val="000000"/>
        </w:rPr>
        <w:t xml:space="preserve">(a) Incurring any single debt obligation in excess of $</w:t>
      </w:r>
      <w:r>
        <w:rPr>
          <w:rFonts w:ascii="Cambria" w:cs="Cambria" w:eastAsia="Cambria" w:hAnsi="Cambria"/>
          <w:b/>
          <w:bCs/>
          <w:color w:val="B03000"/>
        </w:rPr>
        <w:t xml:space="preserve">[THRESHOLD]</w:t>
      </w:r>
      <w:r>
        <w:rPr>
          <w:rFonts w:ascii="Cambria" w:cs="Cambria" w:eastAsia="Cambria" w:hAnsi="Cambria"/>
          <w:b w:val="false"/>
          <w:bCs w:val="false"/>
          <w:color w:val="000000"/>
        </w:rPr>
        <w:t xml:space="preserve"> not in the ordinary course of business;</w:t>
      </w:r>
    </w:p>
    <w:p>
      <w:pPr>
        <w:spacing w:after="90" w:before="0" w:line="276"/>
        <w:ind w:left="1224" w:hanging="431"/>
      </w:pPr>
      <w:r>
        <w:rPr>
          <w:rFonts w:ascii="Cambria" w:cs="Cambria" w:eastAsia="Cambria" w:hAnsi="Cambria"/>
          <w:b w:val="false"/>
          <w:bCs w:val="false"/>
          <w:color w:val="000000"/>
        </w:rPr>
        <w:t xml:space="preserve">(b) Selling or encumbering any LLC asset with a value exceeding $</w:t>
      </w:r>
      <w:r>
        <w:rPr>
          <w:rFonts w:ascii="Cambria" w:cs="Cambria" w:eastAsia="Cambria" w:hAnsi="Cambria"/>
          <w:b/>
          <w:bCs/>
          <w:color w:val="B03000"/>
        </w:rPr>
        <w:t xml:space="preserve">[THRESHOLD]</w:t>
      </w:r>
      <w:r>
        <w:rPr>
          <w:rFonts w:ascii="Cambria" w:cs="Cambria" w:eastAsia="Cambria" w:hAnsi="Cambria"/>
          <w:b w:val="false"/>
          <w:bCs w:val="false"/>
          <w:color w:val="000000"/>
        </w:rPr>
        <w:t xml:space="preserve">;</w:t>
      </w:r>
    </w:p>
    <w:p>
      <w:pPr>
        <w:spacing w:after="90" w:before="0" w:line="276"/>
        <w:ind w:left="1224" w:hanging="431"/>
      </w:pPr>
      <w:r>
        <w:rPr>
          <w:rFonts w:ascii="Cambria" w:cs="Cambria" w:eastAsia="Cambria" w:hAnsi="Cambria"/>
          <w:b w:val="false"/>
          <w:bCs w:val="false"/>
          <w:color w:val="000000"/>
        </w:rPr>
        <w:t xml:space="preserve">(c) Entering into any contract with a term exceeding </w:t>
      </w:r>
      <w:r>
        <w:rPr>
          <w:rFonts w:ascii="Cambria" w:cs="Cambria" w:eastAsia="Cambria" w:hAnsi="Cambria"/>
          <w:b/>
          <w:bCs/>
          <w:color w:val="B03000"/>
        </w:rPr>
        <w:t xml:space="preserve">[PERIOD]</w:t>
      </w:r>
      <w:r>
        <w:rPr>
          <w:rFonts w:ascii="Cambria" w:cs="Cambria" w:eastAsia="Cambria" w:hAnsi="Cambria"/>
          <w:b w:val="false"/>
          <w:bCs w:val="false"/>
          <w:color w:val="000000"/>
        </w:rPr>
        <w:t xml:space="preserve"> months.</w:t>
      </w:r>
    </w:p>
    <w:p>
      <w:pPr>
        <w:spacing w:after="90" w:before="120" w:line="276"/>
        <w:ind w:left="792"/>
      </w:pPr>
      <w:r>
        <w:rPr>
          <w:rFonts w:ascii="Cambria" w:cs="Cambria" w:eastAsia="Cambria" w:hAnsi="Cambria"/>
          <w:b/>
          <w:bCs/>
          <w:color w:val="000000"/>
        </w:rPr>
        <w:t xml:space="preserve">Actions Requiring Unanimous Consent (100%):</w:t>
      </w:r>
    </w:p>
    <w:p>
      <w:pPr>
        <w:spacing w:after="90" w:before="0" w:line="276"/>
        <w:ind w:left="1224" w:hanging="431"/>
      </w:pPr>
      <w:r>
        <w:rPr>
          <w:rFonts w:ascii="Cambria" w:cs="Cambria" w:eastAsia="Cambria" w:hAnsi="Cambria"/>
          <w:b w:val="false"/>
          <w:bCs w:val="false"/>
          <w:color w:val="000000"/>
        </w:rPr>
        <w:t xml:space="preserve">(a) Admitting any new Member to the Company;</w:t>
      </w:r>
    </w:p>
    <w:p>
      <w:pPr>
        <w:spacing w:after="90" w:before="0" w:line="276"/>
        <w:ind w:left="1224" w:hanging="431"/>
      </w:pPr>
      <w:r>
        <w:rPr>
          <w:rFonts w:ascii="Cambria" w:cs="Cambria" w:eastAsia="Cambria" w:hAnsi="Cambria"/>
          <w:b w:val="false"/>
          <w:bCs w:val="false"/>
          <w:color w:val="000000"/>
        </w:rPr>
        <w:t xml:space="preserve">(b) Amending this Operating Agreement;</w:t>
      </w:r>
    </w:p>
    <w:p>
      <w:pPr>
        <w:spacing w:after="90" w:before="0" w:line="276"/>
        <w:ind w:left="1224" w:hanging="431"/>
      </w:pPr>
      <w:r>
        <w:rPr>
          <w:rFonts w:ascii="Cambria" w:cs="Cambria" w:eastAsia="Cambria" w:hAnsi="Cambria"/>
          <w:b w:val="false"/>
          <w:bCs w:val="false"/>
          <w:color w:val="000000"/>
        </w:rPr>
        <w:t xml:space="preserve">(c) Merging the Company with or converting it to another entity;</w:t>
      </w:r>
    </w:p>
    <w:p>
      <w:pPr>
        <w:spacing w:after="90" w:before="0" w:line="276"/>
        <w:ind w:left="1224" w:hanging="431"/>
      </w:pPr>
      <w:r>
        <w:rPr>
          <w:rFonts w:ascii="Cambria" w:cs="Cambria" w:eastAsia="Cambria" w:hAnsi="Cambria"/>
          <w:b w:val="false"/>
          <w:bCs w:val="false"/>
          <w:color w:val="000000"/>
        </w:rPr>
        <w:t xml:space="preserve">(d) Voluntarily dissolving the Company;</w:t>
      </w:r>
    </w:p>
    <w:p>
      <w:pPr>
        <w:spacing w:after="90" w:before="0" w:line="276"/>
        <w:ind w:left="1224" w:hanging="431"/>
      </w:pPr>
      <w:r>
        <w:rPr>
          <w:rFonts w:ascii="Cambria" w:cs="Cambria" w:eastAsia="Cambria" w:hAnsi="Cambria"/>
          <w:b w:val="false"/>
          <w:bCs w:val="false"/>
          <w:color w:val="000000"/>
        </w:rPr>
        <w:t xml:space="preserve">(e) Removing the Manager.</w:t>
      </w:r>
    </w:p>
    <w:p>
      <w:pPr>
        <w:pStyle w:val="Heading1"/>
        <w:keepNext/>
        <w:pBdr>
          <w:bottom w:val="single" w:color="B9B2A2" w:sz="4" w:space="4"/>
        </w:pBdr>
        <w:spacing w:after="140" w:before="300"/>
      </w:pPr>
      <w:r>
        <w:rPr>
          <w:rFonts w:ascii="Cambria" w:cs="Cambria" w:eastAsia="Cambria" w:hAnsi="Cambria"/>
          <w:b/>
          <w:bCs/>
          <w:color w:val="1F3864"/>
          <w:sz w:val="24"/>
          <w:szCs w:val="24"/>
        </w:rPr>
        <w:t xml:space="preserve">ARTICLE 4. TRANSFER RESTRICTIONS AND BUY-SELL PROVISIONS</w:t>
      </w:r>
    </w:p>
    <w:p>
      <w:pPr>
        <w:tabs>
          <w:tab w:val="left" w:pos="792"/>
        </w:tabs>
        <w:spacing w:after="140" w:line="276"/>
        <w:ind w:left="792" w:hanging="792"/>
      </w:pPr>
      <w:r>
        <w:rPr>
          <w:rFonts w:ascii="Cambria" w:cs="Cambria" w:eastAsia="Cambria" w:hAnsi="Cambria"/>
          <w:b/>
          <w:bCs/>
        </w:rPr>
        <w:t xml:space="preserve">4.1</w:t>
      </w:r>
      <w:r>
        <w:tab/>
      </w:r>
      <w:r>
        <w:rPr>
          <w:rFonts w:ascii="Cambria" w:cs="Cambria" w:eastAsia="Cambria" w:hAnsi="Cambria"/>
          <w:b/>
          <w:bCs/>
          <w:color w:val="000000"/>
        </w:rPr>
        <w:t xml:space="preserve">Transfer Restrictions. </w:t>
      </w:r>
      <w:r>
        <w:rPr>
          <w:rFonts w:ascii="Cambria" w:cs="Cambria" w:eastAsia="Cambria" w:hAnsi="Cambria"/>
          <w:b w:val="false"/>
          <w:bCs w:val="false"/>
          <w:color w:val="000000"/>
        </w:rPr>
        <w:t xml:space="preserve">No Member may transfer, sell, assign, pledge, hypothecate, or otherwise dispose of all or any portion of their Membership Interest to any third party ("Proposed Transferee") without first (a) providing written notice to all other Members and the Company, and (b) complying with the right of first refusal provisions of Section 4.2.</w:t>
      </w:r>
    </w:p>
    <w:p>
      <w:pPr>
        <w:tabs>
          <w:tab w:val="left" w:pos="792"/>
        </w:tabs>
        <w:spacing w:after="140" w:line="276"/>
        <w:ind w:left="792" w:hanging="792"/>
      </w:pPr>
      <w:r>
        <w:rPr>
          <w:rFonts w:ascii="Cambria" w:cs="Cambria" w:eastAsia="Cambria" w:hAnsi="Cambria"/>
          <w:b/>
          <w:bCs/>
        </w:rPr>
        <w:t xml:space="preserve">4.2</w:t>
      </w:r>
      <w:r>
        <w:tab/>
      </w:r>
      <w:r>
        <w:rPr>
          <w:rFonts w:ascii="Cambria" w:cs="Cambria" w:eastAsia="Cambria" w:hAnsi="Cambria"/>
          <w:b/>
          <w:bCs/>
          <w:color w:val="000000"/>
        </w:rPr>
        <w:t xml:space="preserve">Right of First Refusal. </w:t>
      </w:r>
      <w:r>
        <w:rPr>
          <w:rFonts w:ascii="Cambria" w:cs="Cambria" w:eastAsia="Cambria" w:hAnsi="Cambria"/>
          <w:b w:val="false"/>
          <w:bCs w:val="false"/>
          <w:color w:val="000000"/>
        </w:rPr>
        <w:t xml:space="preserve">Upon receipt of a bona fide written offer from a Proposed Transferee to purchase all or a portion of a Member's interest, the selling Member ("Offering Member") shall provide written notice to all other Members and the Company ("Right of First Refusal Notice"), which shall include: (a) the name and address of the Proposed Transferee; (b) the Membership Interest proposed to be transferred; (c) the purchase price and payment terms; and (d) a copy of the bona fide offer. The Company (and then the non-offering Members, pro-rata) shall have thirty (30) days to elect to purchase the offered interest on the same terms. If neither the Company nor any Member exercises this right, the Offering Member may complete the sale to the Proposed Transferee on the exact terms set forth in the Right of First Refusal Notice.</w:t>
      </w:r>
    </w:p>
    <w:p>
      <w:pPr>
        <w:tabs>
          <w:tab w:val="left" w:pos="792"/>
        </w:tabs>
        <w:spacing w:after="140" w:line="276"/>
        <w:ind w:left="792" w:hanging="792"/>
      </w:pPr>
      <w:r>
        <w:rPr>
          <w:rFonts w:ascii="Cambria" w:cs="Cambria" w:eastAsia="Cambria" w:hAnsi="Cambria"/>
          <w:b/>
          <w:bCs/>
        </w:rPr>
        <w:t xml:space="preserve">4.3</w:t>
      </w:r>
      <w:r>
        <w:tab/>
      </w:r>
      <w:r>
        <w:rPr>
          <w:rFonts w:ascii="Cambria" w:cs="Cambria" w:eastAsia="Cambria" w:hAnsi="Cambria"/>
          <w:b/>
          <w:bCs/>
          <w:color w:val="000000"/>
        </w:rPr>
        <w:t xml:space="preserve">Buyout Upon Triggering Events. </w:t>
      </w:r>
      <w:r>
        <w:rPr>
          <w:rFonts w:ascii="Cambria" w:cs="Cambria" w:eastAsia="Cambria" w:hAnsi="Cambria"/>
          <w:b w:val="false"/>
          <w:bCs w:val="false"/>
          <w:color w:val="000000"/>
        </w:rPr>
        <w:t xml:space="preserve">If any of the following events ("Triggering Events") occurs with respect to a Member, the Company and the non-affected Members shall have the right, and the affected Member or their legal representative shall have the obligation, to complete a buyout of the affected Member's interest within </w:t>
      </w:r>
      <w:r>
        <w:rPr>
          <w:rFonts w:ascii="Cambria" w:cs="Cambria" w:eastAsia="Cambria" w:hAnsi="Cambria"/>
          <w:b/>
          <w:bCs/>
          <w:color w:val="B03000"/>
        </w:rPr>
        <w:t xml:space="preserve">[BUYOUT DAYS]</w:t>
      </w:r>
      <w:r>
        <w:rPr>
          <w:rFonts w:ascii="Cambria" w:cs="Cambria" w:eastAsia="Cambria" w:hAnsi="Cambria"/>
          <w:b w:val="false"/>
          <w:bCs w:val="false"/>
          <w:color w:val="000000"/>
        </w:rPr>
        <w:t xml:space="preserve"> days of the Triggering Event, at the price determined under Section 4.4: (a) Death of a Member; (b) Permanent Disability (as defined below); (c) Divorce, if a court awards any portion of the Membership Interest to a non-member spouse; (d) Voluntary withdrawal of a Member; (e) Bankruptcy or insolvency of a Member.</w:t>
      </w:r>
    </w:p>
    <w:p>
      <w:pPr>
        <w:tabs>
          <w:tab w:val="left" w:pos="792"/>
        </w:tabs>
        <w:spacing w:after="140" w:line="276"/>
        <w:ind w:left="792" w:hanging="792"/>
      </w:pPr>
      <w:r>
        <w:rPr>
          <w:rFonts w:ascii="Cambria" w:cs="Cambria" w:eastAsia="Cambria" w:hAnsi="Cambria"/>
          <w:b/>
          <w:bCs/>
        </w:rPr>
        <w:t xml:space="preserve">4.4</w:t>
      </w:r>
      <w:r>
        <w:tab/>
      </w:r>
      <w:r>
        <w:rPr>
          <w:rFonts w:ascii="Cambria" w:cs="Cambria" w:eastAsia="Cambria" w:hAnsi="Cambria"/>
          <w:b/>
          <w:bCs/>
          <w:color w:val="000000"/>
        </w:rPr>
        <w:t xml:space="preserve">Valuation. </w:t>
      </w:r>
      <w:r>
        <w:rPr>
          <w:rFonts w:ascii="Cambria" w:cs="Cambria" w:eastAsia="Cambria" w:hAnsi="Cambria"/>
          <w:b w:val="false"/>
          <w:bCs w:val="false"/>
          <w:color w:val="000000"/>
        </w:rPr>
        <w:t xml:space="preserve">The purchase price for any buyout under Section 4.3 shall be determined as follows: (a) Agreed Value: If the Members agree on a value within </w:t>
      </w:r>
      <w:r>
        <w:rPr>
          <w:rFonts w:ascii="Cambria" w:cs="Cambria" w:eastAsia="Cambria" w:hAnsi="Cambria"/>
          <w:b/>
          <w:bCs/>
          <w:color w:val="B03000"/>
        </w:rPr>
        <w:t xml:space="preserve">[VALUATION DAYS]</w:t>
      </w:r>
      <w:r>
        <w:rPr>
          <w:rFonts w:ascii="Cambria" w:cs="Cambria" w:eastAsia="Cambria" w:hAnsi="Cambria"/>
          <w:b w:val="false"/>
          <w:bCs w:val="false"/>
          <w:color w:val="000000"/>
        </w:rPr>
        <w:t xml:space="preserve"> days of the Triggering Event, that agreed value shall apply; (b) Formula Value: If the Members cannot agree, the purchase price shall equal </w:t>
      </w:r>
      <w:r>
        <w:rPr>
          <w:rFonts w:ascii="Cambria" w:cs="Cambria" w:eastAsia="Cambria" w:hAnsi="Cambria"/>
          <w:b/>
          <w:bCs/>
          <w:color w:val="B03000"/>
        </w:rPr>
        <w:t xml:space="preserve">[FORMULA]</w:t>
      </w:r>
      <w:r>
        <w:rPr>
          <w:rFonts w:ascii="Cambria" w:cs="Cambria" w:eastAsia="Cambria" w:hAnsi="Cambria"/>
          <w:b w:val="false"/>
          <w:bCs w:val="false"/>
          <w:color w:val="000000"/>
        </w:rPr>
        <w:t xml:space="preserve"> as of the most recent fiscal year end, as determined by the Company's regular accountant; (c) Independent Appraisal: If any Member disputes the Formula Value, any Member may request an independent appraisal by a qualified business appraiser selected by mutual agreement (or, if the Members cannot agree, by the American Arbitration Association). The cost of the appraisal shall be split equally.</w:t>
      </w:r>
    </w:p>
    <w:p>
      <w:pPr>
        <w:pStyle w:val="Heading1"/>
        <w:keepNext/>
        <w:pBdr>
          <w:bottom w:val="single" w:color="B9B2A2" w:sz="4" w:space="4"/>
        </w:pBdr>
        <w:spacing w:after="140" w:before="300"/>
      </w:pPr>
      <w:r>
        <w:rPr>
          <w:rFonts w:ascii="Cambria" w:cs="Cambria" w:eastAsia="Cambria" w:hAnsi="Cambria"/>
          <w:b/>
          <w:bCs/>
          <w:color w:val="1F3864"/>
          <w:sz w:val="24"/>
          <w:szCs w:val="24"/>
        </w:rPr>
        <w:t xml:space="preserve">ARTICLE 5. DEADLOCK AND DISPUTE RESOLUTION</w:t>
      </w:r>
    </w:p>
    <w:p>
      <w:pPr>
        <w:tabs>
          <w:tab w:val="left" w:pos="792"/>
        </w:tabs>
        <w:spacing w:after="140" w:line="276"/>
        <w:ind w:left="792" w:hanging="792"/>
      </w:pPr>
      <w:r>
        <w:rPr>
          <w:rFonts w:ascii="Cambria" w:cs="Cambria" w:eastAsia="Cambria" w:hAnsi="Cambria"/>
          <w:b/>
          <w:bCs/>
        </w:rPr>
        <w:t xml:space="preserve">5.1</w:t>
      </w:r>
      <w:r>
        <w:tab/>
      </w:r>
      <w:r>
        <w:rPr>
          <w:rFonts w:ascii="Cambria" w:cs="Cambria" w:eastAsia="Cambria" w:hAnsi="Cambria"/>
          <w:b/>
          <w:bCs/>
          <w:color w:val="000000"/>
        </w:rPr>
        <w:t xml:space="preserve">Good Faith Negotiation. </w:t>
      </w:r>
      <w:r>
        <w:rPr>
          <w:rFonts w:ascii="Cambria" w:cs="Cambria" w:eastAsia="Cambria" w:hAnsi="Cambria"/>
          <w:b w:val="false"/>
          <w:bCs w:val="false"/>
          <w:color w:val="000000"/>
        </w:rPr>
        <w:t xml:space="preserve">In the event of any dispute, controversy, or claim arising out of or relating to this Agreement, the Members and the Company shall first attempt to resolve the matter through good faith negotiation for a period of thirty (30) days.</w:t>
      </w:r>
    </w:p>
    <w:p>
      <w:pPr>
        <w:tabs>
          <w:tab w:val="left" w:pos="792"/>
        </w:tabs>
        <w:spacing w:after="140" w:line="276"/>
        <w:ind w:left="792" w:hanging="792"/>
      </w:pPr>
      <w:r>
        <w:rPr>
          <w:rFonts w:ascii="Cambria" w:cs="Cambria" w:eastAsia="Cambria" w:hAnsi="Cambria"/>
          <w:b/>
          <w:bCs/>
        </w:rPr>
        <w:t xml:space="preserve">5.2</w:t>
      </w:r>
      <w:r>
        <w:tab/>
      </w:r>
      <w:r>
        <w:rPr>
          <w:rFonts w:ascii="Cambria" w:cs="Cambria" w:eastAsia="Cambria" w:hAnsi="Cambria"/>
          <w:b/>
          <w:bCs/>
          <w:color w:val="000000"/>
        </w:rPr>
        <w:t xml:space="preserve">Mediation. </w:t>
      </w:r>
      <w:r>
        <w:rPr>
          <w:rFonts w:ascii="Cambria" w:cs="Cambria" w:eastAsia="Cambria" w:hAnsi="Cambria"/>
          <w:b w:val="false"/>
          <w:bCs w:val="false"/>
          <w:color w:val="000000"/>
        </w:rPr>
        <w:t xml:space="preserve">If good faith negotiation does not resolve the dispute within thirty (30) days, the parties shall submit the matter to non-binding mediation administered by a mutually agreed-upon mediator. The cost of mediation shall be shared equally by the Members. Mediation shall be completed within sixty (60) days of referral.</w:t>
      </w:r>
    </w:p>
    <w:p>
      <w:pPr>
        <w:tabs>
          <w:tab w:val="left" w:pos="792"/>
        </w:tabs>
        <w:spacing w:after="140" w:line="276"/>
        <w:ind w:left="792" w:hanging="792"/>
      </w:pPr>
      <w:r>
        <w:rPr>
          <w:rFonts w:ascii="Cambria" w:cs="Cambria" w:eastAsia="Cambria" w:hAnsi="Cambria"/>
          <w:b/>
          <w:bCs/>
        </w:rPr>
        <w:t xml:space="preserve">5.3</w:t>
      </w:r>
      <w:r>
        <w:tab/>
      </w:r>
      <w:r>
        <w:rPr>
          <w:rFonts w:ascii="Cambria" w:cs="Cambria" w:eastAsia="Cambria" w:hAnsi="Cambria"/>
          <w:b/>
          <w:bCs/>
          <w:color w:val="000000"/>
        </w:rPr>
        <w:t xml:space="preserve">Binding Arbitration. </w:t>
      </w:r>
      <w:r>
        <w:rPr>
          <w:rFonts w:ascii="Cambria" w:cs="Cambria" w:eastAsia="Cambria" w:hAnsi="Cambria"/>
          <w:b w:val="false"/>
          <w:bCs w:val="false"/>
          <w:color w:val="000000"/>
        </w:rPr>
        <w:t xml:space="preserve">If mediation fails to resolve the dispute, the dispute shall be submitted to final and binding arbitration administered by the American Arbitration Association ("AAA") in accordance with its Commercial Arbitration Rules. The arbitration shall be conducted in </w:t>
      </w:r>
      <w:r>
        <w:rPr>
          <w:rFonts w:ascii="Cambria" w:cs="Cambria" w:eastAsia="Cambria" w:hAnsi="Cambria"/>
          <w:b/>
          <w:bCs/>
          <w:color w:val="B03000"/>
        </w:rPr>
        <w:t xml:space="preserve">[CITY, STATE]</w:t>
      </w:r>
      <w:r>
        <w:rPr>
          <w:rFonts w:ascii="Cambria" w:cs="Cambria" w:eastAsia="Cambria" w:hAnsi="Cambria"/>
          <w:b w:val="false"/>
          <w:bCs w:val="false"/>
          <w:color w:val="000000"/>
        </w:rPr>
        <w:t xml:space="preserve">. The decision of the arbitrator shall be final, binding, and non-appealable. The arbitrator may award any remedy available at law or in equity. Costs of arbitration shall be allocated as directed by the arbitrator.</w:t>
      </w:r>
    </w:p>
    <w:p>
      <w:pPr>
        <w:tabs>
          <w:tab w:val="left" w:pos="792"/>
        </w:tabs>
        <w:spacing w:after="140" w:line="276"/>
        <w:ind w:left="792" w:hanging="792"/>
      </w:pPr>
      <w:r>
        <w:rPr>
          <w:rFonts w:ascii="Cambria" w:cs="Cambria" w:eastAsia="Cambria" w:hAnsi="Cambria"/>
          <w:b/>
          <w:bCs/>
        </w:rPr>
        <w:t xml:space="preserve">5.4</w:t>
      </w:r>
      <w:r>
        <w:tab/>
      </w:r>
      <w:r>
        <w:rPr>
          <w:rFonts w:ascii="Cambria" w:cs="Cambria" w:eastAsia="Cambria" w:hAnsi="Cambria"/>
          <w:b/>
          <w:bCs/>
          <w:color w:val="000000"/>
        </w:rPr>
        <w:t xml:space="preserve">Deadlock Provisions. </w:t>
      </w:r>
      <w:r>
        <w:rPr>
          <w:rFonts w:ascii="Cambria" w:cs="Cambria" w:eastAsia="Cambria" w:hAnsi="Cambria"/>
          <w:b w:val="false"/>
          <w:bCs w:val="false"/>
          <w:color w:val="000000"/>
        </w:rPr>
        <w:t xml:space="preserve">In the event that the Members are unable to reach agreement on any decision requiring unanimous consent, and such deadlock persists for more than </w:t>
      </w:r>
      <w:r>
        <w:rPr>
          <w:rFonts w:ascii="Cambria" w:cs="Cambria" w:eastAsia="Cambria" w:hAnsi="Cambria"/>
          <w:b/>
          <w:bCs/>
          <w:color w:val="B03000"/>
        </w:rPr>
        <w:t xml:space="preserve">[DEADLOCK DAYS]</w:t>
      </w:r>
      <w:r>
        <w:rPr>
          <w:rFonts w:ascii="Cambria" w:cs="Cambria" w:eastAsia="Cambria" w:hAnsi="Cambria"/>
          <w:b w:val="false"/>
          <w:bCs w:val="false"/>
          <w:color w:val="000000"/>
        </w:rPr>
        <w:t xml:space="preserve"> days, any Member may invoke the following deadlock resolution mechanisms: (a) Mediation as described in Section 5.2; (b) If mediation fails, a "buy-sell trigger" under which any Member may offer to purchase all other Members' interests at a stated price per Unit, and the receiving Members must either accept the offer or purchase the offering Member's interests at the same stated price per Unit within thirty (30) days.</w:t>
      </w:r>
    </w:p>
    <w:p>
      <w:pPr>
        <w:pStyle w:val="Heading1"/>
        <w:keepNext/>
        <w:pBdr>
          <w:bottom w:val="single" w:color="B9B2A2" w:sz="4" w:space="4"/>
        </w:pBdr>
        <w:spacing w:after="140" w:before="300"/>
      </w:pPr>
      <w:r>
        <w:rPr>
          <w:rFonts w:ascii="Cambria" w:cs="Cambria" w:eastAsia="Cambria" w:hAnsi="Cambria"/>
          <w:b/>
          <w:bCs/>
          <w:color w:val="1F3864"/>
          <w:sz w:val="24"/>
          <w:szCs w:val="24"/>
        </w:rPr>
        <w:t xml:space="preserve">ARTICLE 6. BOOKS, RECORDS, AND ACCOUNTING</w:t>
      </w:r>
    </w:p>
    <w:p>
      <w:pPr>
        <w:tabs>
          <w:tab w:val="left" w:pos="792"/>
        </w:tabs>
        <w:spacing w:after="140" w:line="276"/>
        <w:ind w:left="792" w:hanging="792"/>
      </w:pPr>
      <w:r>
        <w:rPr>
          <w:rFonts w:ascii="Cambria" w:cs="Cambria" w:eastAsia="Cambria" w:hAnsi="Cambria"/>
          <w:b/>
          <w:bCs/>
        </w:rPr>
        <w:t xml:space="preserve">6.1</w:t>
      </w:r>
      <w:r>
        <w:tab/>
      </w:r>
      <w:r>
        <w:rPr>
          <w:rFonts w:ascii="Cambria" w:cs="Cambria" w:eastAsia="Cambria" w:hAnsi="Cambria"/>
          <w:b/>
          <w:bCs/>
          <w:color w:val="000000"/>
        </w:rPr>
        <w:t xml:space="preserve">Books and Records. </w:t>
      </w:r>
      <w:r>
        <w:rPr>
          <w:rFonts w:ascii="Cambria" w:cs="Cambria" w:eastAsia="Cambria" w:hAnsi="Cambria"/>
          <w:b w:val="false"/>
          <w:bCs w:val="false"/>
          <w:color w:val="000000"/>
        </w:rPr>
        <w:t xml:space="preserve">The Company shall maintain at its principal office accurate books of account, tax records, a Capital Account record for each Member, and a current Member and Contribution Register, kept on the </w:t>
      </w:r>
      <w:r>
        <w:rPr>
          <w:rFonts w:ascii="Cambria" w:cs="Cambria" w:eastAsia="Cambria" w:hAnsi="Cambria"/>
          <w:b/>
          <w:bCs/>
          <w:color w:val="B03000"/>
        </w:rPr>
        <w:t xml:space="preserve">[CASH OR ACCRUAL]</w:t>
      </w:r>
      <w:r>
        <w:rPr>
          <w:rFonts w:ascii="Cambria" w:cs="Cambria" w:eastAsia="Cambria" w:hAnsi="Cambria"/>
          <w:b w:val="false"/>
          <w:bCs w:val="false"/>
          <w:color w:val="000000"/>
        </w:rPr>
        <w:t xml:space="preserve"> method for a fiscal year ending December 31.</w:t>
      </w:r>
    </w:p>
    <w:p>
      <w:pPr>
        <w:tabs>
          <w:tab w:val="left" w:pos="792"/>
        </w:tabs>
        <w:spacing w:after="140" w:line="276"/>
        <w:ind w:left="792" w:hanging="792"/>
      </w:pPr>
      <w:r>
        <w:rPr>
          <w:rFonts w:ascii="Cambria" w:cs="Cambria" w:eastAsia="Cambria" w:hAnsi="Cambria"/>
          <w:b/>
          <w:bCs/>
        </w:rPr>
        <w:t xml:space="preserve">6.2</w:t>
      </w:r>
      <w:r>
        <w:tab/>
      </w:r>
      <w:r>
        <w:rPr>
          <w:rFonts w:ascii="Cambria" w:cs="Cambria" w:eastAsia="Cambria" w:hAnsi="Cambria"/>
          <w:b/>
          <w:bCs/>
          <w:color w:val="000000"/>
        </w:rPr>
        <w:t xml:space="preserve">Member Inspection. </w:t>
      </w:r>
      <w:r>
        <w:rPr>
          <w:rFonts w:ascii="Cambria" w:cs="Cambria" w:eastAsia="Cambria" w:hAnsi="Cambria"/>
          <w:b w:val="false"/>
          <w:bCs w:val="false"/>
          <w:color w:val="000000"/>
        </w:rPr>
        <w:t xml:space="preserve">Each Member, on </w:t>
      </w:r>
      <w:r>
        <w:rPr>
          <w:rFonts w:ascii="Cambria" w:cs="Cambria" w:eastAsia="Cambria" w:hAnsi="Cambria"/>
          <w:b/>
          <w:bCs/>
          <w:color w:val="B03000"/>
        </w:rPr>
        <w:t xml:space="preserve">[INSPECTION NOTICE DAYS]</w:t>
      </w:r>
      <w:r>
        <w:rPr>
          <w:rFonts w:ascii="Cambria" w:cs="Cambria" w:eastAsia="Cambria" w:hAnsi="Cambria"/>
          <w:b w:val="false"/>
          <w:bCs w:val="false"/>
          <w:color w:val="000000"/>
        </w:rPr>
        <w:t xml:space="preserve"> days' written notice and for a purpose reasonably related to that Member's interest, may inspect and copy the books, records, and tax returns during normal business hours.</w:t>
      </w:r>
    </w:p>
    <w:p>
      <w:pPr>
        <w:tabs>
          <w:tab w:val="left" w:pos="792"/>
        </w:tabs>
        <w:spacing w:after="140" w:line="276"/>
        <w:ind w:left="792" w:hanging="792"/>
      </w:pPr>
      <w:r>
        <w:rPr>
          <w:rFonts w:ascii="Cambria" w:cs="Cambria" w:eastAsia="Cambria" w:hAnsi="Cambria"/>
          <w:b/>
          <w:bCs/>
        </w:rPr>
        <w:t xml:space="preserve">6.3</w:t>
      </w:r>
      <w:r>
        <w:tab/>
      </w:r>
      <w:r>
        <w:rPr>
          <w:rFonts w:ascii="Cambria" w:cs="Cambria" w:eastAsia="Cambria" w:hAnsi="Cambria"/>
          <w:b/>
          <w:bCs/>
          <w:color w:val="000000"/>
        </w:rPr>
        <w:t xml:space="preserve">Reporting. </w:t>
      </w:r>
      <w:r>
        <w:rPr>
          <w:rFonts w:ascii="Cambria" w:cs="Cambria" w:eastAsia="Cambria" w:hAnsi="Cambria"/>
          <w:b w:val="false"/>
          <w:bCs w:val="false"/>
          <w:color w:val="000000"/>
        </w:rPr>
        <w:t xml:space="preserve">The Manager shall deliver to each Member, within </w:t>
      </w:r>
      <w:r>
        <w:rPr>
          <w:rFonts w:ascii="Cambria" w:cs="Cambria" w:eastAsia="Cambria" w:hAnsi="Cambria"/>
          <w:b/>
          <w:bCs/>
          <w:color w:val="B03000"/>
        </w:rPr>
        <w:t xml:space="preserve">[REPORTING DAYS]</w:t>
      </w:r>
      <w:r>
        <w:rPr>
          <w:rFonts w:ascii="Cambria" w:cs="Cambria" w:eastAsia="Cambria" w:hAnsi="Cambria"/>
          <w:b w:val="false"/>
          <w:bCs w:val="false"/>
          <w:color w:val="000000"/>
        </w:rPr>
        <w:t xml:space="preserve"> days after the close of each fiscal year, a statement of income and expenses, that Member's Capital Account balance, and that Member's Schedule K-1.</w:t>
      </w:r>
    </w:p>
    <w:p>
      <w:pPr>
        <w:pStyle w:val="Heading1"/>
        <w:keepNext/>
        <w:pBdr>
          <w:bottom w:val="single" w:color="B9B2A2" w:sz="4" w:space="4"/>
        </w:pBdr>
        <w:spacing w:after="140" w:before="300"/>
      </w:pPr>
      <w:r>
        <w:rPr>
          <w:rFonts w:ascii="Cambria" w:cs="Cambria" w:eastAsia="Cambria" w:hAnsi="Cambria"/>
          <w:b/>
          <w:bCs/>
          <w:color w:val="1F3864"/>
          <w:sz w:val="24"/>
          <w:szCs w:val="24"/>
        </w:rPr>
        <w:t xml:space="preserve">ARTICLE 7. FIDUCIARY DUTIES OF MEMBERS AND MANAGER</w:t>
      </w:r>
    </w:p>
    <w:p>
      <w:pPr>
        <w:tabs>
          <w:tab w:val="left" w:pos="792"/>
        </w:tabs>
        <w:spacing w:after="140" w:line="276"/>
        <w:ind w:left="792" w:hanging="792"/>
      </w:pPr>
      <w:r>
        <w:rPr>
          <w:rFonts w:ascii="Cambria" w:cs="Cambria" w:eastAsia="Cambria" w:hAnsi="Cambria"/>
          <w:b/>
          <w:bCs/>
        </w:rPr>
        <w:t xml:space="preserve">7.1</w:t>
      </w:r>
      <w:r>
        <w:tab/>
      </w:r>
      <w:r>
        <w:rPr>
          <w:rFonts w:ascii="Cambria" w:cs="Cambria" w:eastAsia="Cambria" w:hAnsi="Cambria"/>
          <w:b/>
          <w:bCs/>
          <w:color w:val="000000"/>
        </w:rPr>
        <w:t xml:space="preserve">Duty of Loyalty. </w:t>
      </w:r>
      <w:r>
        <w:rPr>
          <w:rFonts w:ascii="Cambria" w:cs="Cambria" w:eastAsia="Cambria" w:hAnsi="Cambria"/>
          <w:b w:val="false"/>
          <w:bCs w:val="false"/>
          <w:color w:val="000000"/>
        </w:rPr>
        <w:t xml:space="preserve">Each Member and the Manager shall account to the Company for any profit or benefit derived from the Company's business, the use of Company property, or the appropriation of a Company opportunity.</w:t>
      </w:r>
    </w:p>
    <w:p>
      <w:pPr>
        <w:tabs>
          <w:tab w:val="left" w:pos="792"/>
        </w:tabs>
        <w:spacing w:after="140" w:line="276"/>
        <w:ind w:left="792" w:hanging="792"/>
      </w:pPr>
      <w:r>
        <w:rPr>
          <w:rFonts w:ascii="Cambria" w:cs="Cambria" w:eastAsia="Cambria" w:hAnsi="Cambria"/>
          <w:b/>
          <w:bCs/>
        </w:rPr>
        <w:t xml:space="preserve">7.2</w:t>
      </w:r>
      <w:r>
        <w:tab/>
      </w:r>
      <w:r>
        <w:rPr>
          <w:rFonts w:ascii="Cambria" w:cs="Cambria" w:eastAsia="Cambria" w:hAnsi="Cambria"/>
          <w:b/>
          <w:bCs/>
          <w:color w:val="000000"/>
        </w:rPr>
        <w:t xml:space="preserve">Duty of Care. </w:t>
      </w:r>
      <w:r>
        <w:rPr>
          <w:rFonts w:ascii="Cambria" w:cs="Cambria" w:eastAsia="Cambria" w:hAnsi="Cambria"/>
          <w:b w:val="false"/>
          <w:bCs w:val="false"/>
          <w:color w:val="000000"/>
        </w:rPr>
        <w:t xml:space="preserve">Each Member and the Manager shall act in good faith and in a manner reasonably believed to be in the best interests of the Company, and shall refrain from gross negligence, recklessness, intentional misconduct, and knowing violations of law.</w:t>
      </w:r>
    </w:p>
    <w:p>
      <w:pPr>
        <w:tabs>
          <w:tab w:val="left" w:pos="792"/>
        </w:tabs>
        <w:spacing w:after="140" w:line="276"/>
        <w:ind w:left="792" w:hanging="792"/>
      </w:pPr>
      <w:r>
        <w:rPr>
          <w:rFonts w:ascii="Cambria" w:cs="Cambria" w:eastAsia="Cambria" w:hAnsi="Cambria"/>
          <w:b/>
          <w:bCs/>
        </w:rPr>
        <w:t xml:space="preserve">7.3</w:t>
      </w:r>
      <w:r>
        <w:tab/>
      </w:r>
      <w:r>
        <w:rPr>
          <w:rFonts w:ascii="Cambria" w:cs="Cambria" w:eastAsia="Cambria" w:hAnsi="Cambria"/>
          <w:b/>
          <w:bCs/>
          <w:color w:val="000000"/>
        </w:rPr>
        <w:t xml:space="preserve">Permitted Outside Activities. </w:t>
      </w:r>
      <w:r>
        <w:rPr>
          <w:rFonts w:ascii="Cambria" w:cs="Cambria" w:eastAsia="Cambria" w:hAnsi="Cambria"/>
          <w:b w:val="false"/>
          <w:bCs w:val="false"/>
          <w:color w:val="000000"/>
        </w:rPr>
        <w:t xml:space="preserve">A Member may engage in any business that is not directly competitive with the Company's </w:t>
      </w:r>
      <w:r>
        <w:rPr>
          <w:rFonts w:ascii="Cambria" w:cs="Cambria" w:eastAsia="Cambria" w:hAnsi="Cambria"/>
          <w:b/>
          <w:bCs/>
          <w:color w:val="B03000"/>
        </w:rPr>
        <w:t xml:space="preserve">[PRIMARY BUSINESS]</w:t>
      </w:r>
      <w:r>
        <w:rPr>
          <w:rFonts w:ascii="Cambria" w:cs="Cambria" w:eastAsia="Cambria" w:hAnsi="Cambria"/>
          <w:b w:val="false"/>
          <w:bCs w:val="false"/>
          <w:color w:val="000000"/>
        </w:rPr>
        <w:t xml:space="preserve">, and the other Members waive any claim to the income of it. A directly competitive activity shall be disclosed in writing and may proceed only with the written consent of Members holding at least 66.7% of Membership Interests.</w:t>
      </w:r>
    </w:p>
    <w:p>
      <w:pPr>
        <w:tabs>
          <w:tab w:val="left" w:pos="792"/>
        </w:tabs>
        <w:spacing w:after="140" w:line="276"/>
        <w:ind w:left="792" w:hanging="792"/>
      </w:pPr>
      <w:r>
        <w:rPr>
          <w:rFonts w:ascii="Cambria" w:cs="Cambria" w:eastAsia="Cambria" w:hAnsi="Cambria"/>
          <w:b/>
          <w:bCs/>
        </w:rPr>
        <w:t xml:space="preserve">7.4</w:t>
      </w:r>
      <w:r>
        <w:tab/>
      </w:r>
      <w:r>
        <w:rPr>
          <w:rFonts w:ascii="Cambria" w:cs="Cambria" w:eastAsia="Cambria" w:hAnsi="Cambria"/>
          <w:b/>
          <w:bCs/>
          <w:color w:val="000000"/>
        </w:rPr>
        <w:t xml:space="preserve">Duties Not Waived. </w:t>
      </w:r>
      <w:r>
        <w:rPr>
          <w:rFonts w:ascii="Cambria" w:cs="Cambria" w:eastAsia="Cambria" w:hAnsi="Cambria"/>
          <w:b w:val="false"/>
          <w:bCs w:val="false"/>
          <w:color w:val="000000"/>
        </w:rPr>
        <w:t xml:space="preserve">Nothing in this Article eliminates the implied contractual covenant of good faith and fair dealing or excuses conduct described in Section 7.2.</w:t>
      </w:r>
    </w:p>
    <w:p>
      <w:pPr>
        <w:pStyle w:val="Heading1"/>
        <w:keepNext/>
        <w:pBdr>
          <w:bottom w:val="single" w:color="B9B2A2" w:sz="4" w:space="4"/>
        </w:pBdr>
        <w:spacing w:after="140" w:before="300"/>
      </w:pPr>
      <w:r>
        <w:rPr>
          <w:rFonts w:ascii="Cambria" w:cs="Cambria" w:eastAsia="Cambria" w:hAnsi="Cambria"/>
          <w:b/>
          <w:bCs/>
          <w:color w:val="1F3864"/>
          <w:sz w:val="24"/>
          <w:szCs w:val="24"/>
        </w:rPr>
        <w:t xml:space="preserve">ARTICLE 8. SUCCESSION AND CONTINUITY</w:t>
      </w:r>
    </w:p>
    <w:p>
      <w:pPr>
        <w:tabs>
          <w:tab w:val="left" w:pos="792"/>
        </w:tabs>
        <w:spacing w:after="140" w:line="276"/>
        <w:ind w:left="792" w:hanging="792"/>
      </w:pPr>
      <w:r>
        <w:rPr>
          <w:rFonts w:ascii="Cambria" w:cs="Cambria" w:eastAsia="Cambria" w:hAnsi="Cambria"/>
          <w:b/>
          <w:bCs/>
        </w:rPr>
        <w:t xml:space="preserve">8.1</w:t>
      </w:r>
      <w:r>
        <w:tab/>
      </w:r>
      <w:r>
        <w:rPr>
          <w:rFonts w:ascii="Cambria" w:cs="Cambria" w:eastAsia="Cambria" w:hAnsi="Cambria"/>
          <w:b/>
          <w:bCs/>
          <w:color w:val="000000"/>
        </w:rPr>
        <w:t xml:space="preserve">Continuity. </w:t>
      </w:r>
      <w:r>
        <w:rPr>
          <w:rFonts w:ascii="Cambria" w:cs="Cambria" w:eastAsia="Cambria" w:hAnsi="Cambria"/>
          <w:b w:val="false"/>
          <w:bCs w:val="false"/>
          <w:color w:val="000000"/>
        </w:rPr>
        <w:t xml:space="preserve">The death, incapacity, bankruptcy, or withdrawal of a Member shall not dissolve the Company, which continues until dissolved under Article 9.</w:t>
      </w:r>
    </w:p>
    <w:p>
      <w:pPr>
        <w:tabs>
          <w:tab w:val="left" w:pos="792"/>
        </w:tabs>
        <w:spacing w:after="140" w:line="276"/>
        <w:ind w:left="792" w:hanging="792"/>
      </w:pPr>
      <w:r>
        <w:rPr>
          <w:rFonts w:ascii="Cambria" w:cs="Cambria" w:eastAsia="Cambria" w:hAnsi="Cambria"/>
          <w:b/>
          <w:bCs/>
        </w:rPr>
        <w:t xml:space="preserve">8.2</w:t>
      </w:r>
      <w:r>
        <w:tab/>
      </w:r>
      <w:r>
        <w:rPr>
          <w:rFonts w:ascii="Cambria" w:cs="Cambria" w:eastAsia="Cambria" w:hAnsi="Cambria"/>
          <w:b/>
          <w:bCs/>
          <w:color w:val="000000"/>
        </w:rPr>
        <w:t xml:space="preserve">Economic Interest Only. </w:t>
      </w:r>
      <w:r>
        <w:rPr>
          <w:rFonts w:ascii="Cambria" w:cs="Cambria" w:eastAsia="Cambria" w:hAnsi="Cambria"/>
          <w:b w:val="false"/>
          <w:bCs w:val="false"/>
          <w:color w:val="000000"/>
        </w:rPr>
        <w:t xml:space="preserve">On the death or adjudicated incapacity of a Member, that Member's estate or designated beneficiary succeeds to the economic interest only, meaning the right to allocations and distributions. The estate holds no voting rights and no management rights.</w:t>
      </w:r>
    </w:p>
    <w:p>
      <w:pPr>
        <w:tabs>
          <w:tab w:val="left" w:pos="792"/>
        </w:tabs>
        <w:spacing w:after="140" w:line="276"/>
        <w:ind w:left="792" w:hanging="792"/>
      </w:pPr>
      <w:r>
        <w:rPr>
          <w:rFonts w:ascii="Cambria" w:cs="Cambria" w:eastAsia="Cambria" w:hAnsi="Cambria"/>
          <w:b/>
          <w:bCs/>
        </w:rPr>
        <w:t xml:space="preserve">8.3</w:t>
      </w:r>
      <w:r>
        <w:tab/>
      </w:r>
      <w:r>
        <w:rPr>
          <w:rFonts w:ascii="Cambria" w:cs="Cambria" w:eastAsia="Cambria" w:hAnsi="Cambria"/>
          <w:b/>
          <w:bCs/>
          <w:color w:val="000000"/>
        </w:rPr>
        <w:t xml:space="preserve">Admission as a Member. </w:t>
      </w:r>
      <w:r>
        <w:rPr>
          <w:rFonts w:ascii="Cambria" w:cs="Cambria" w:eastAsia="Cambria" w:hAnsi="Cambria"/>
          <w:b w:val="false"/>
          <w:bCs w:val="false"/>
          <w:color w:val="000000"/>
        </w:rPr>
        <w:t xml:space="preserve">An estate, beneficiary, or transferee becomes a Member with voting rights only on the unanimous written consent of the remaining Members, and is then bound by this Agreement.</w:t>
      </w:r>
    </w:p>
    <w:p>
      <w:pPr>
        <w:tabs>
          <w:tab w:val="left" w:pos="792"/>
        </w:tabs>
        <w:spacing w:after="140" w:line="276"/>
        <w:ind w:left="792" w:hanging="792"/>
      </w:pPr>
      <w:r>
        <w:rPr>
          <w:rFonts w:ascii="Cambria" w:cs="Cambria" w:eastAsia="Cambria" w:hAnsi="Cambria"/>
          <w:b/>
          <w:bCs/>
        </w:rPr>
        <w:t xml:space="preserve">8.4</w:t>
      </w:r>
      <w:r>
        <w:tab/>
      </w:r>
      <w:r>
        <w:rPr>
          <w:rFonts w:ascii="Cambria" w:cs="Cambria" w:eastAsia="Cambria" w:hAnsi="Cambria"/>
          <w:b/>
          <w:bCs/>
          <w:color w:val="000000"/>
        </w:rPr>
        <w:t xml:space="preserve">Interaction With the Buyout. </w:t>
      </w:r>
      <w:r>
        <w:rPr>
          <w:rFonts w:ascii="Cambria" w:cs="Cambria" w:eastAsia="Cambria" w:hAnsi="Cambria"/>
          <w:b w:val="false"/>
          <w:bCs w:val="false"/>
          <w:color w:val="000000"/>
        </w:rPr>
        <w:t xml:space="preserve">Death is a Triggering Event under Section 4.3(a). Until the buyout closes at the price set under Section 4.4 the estate holds the economic interest described in 8.2, and holds it still if the buyout does not close.</w:t>
      </w:r>
    </w:p>
    <w:p>
      <w:pPr>
        <w:tabs>
          <w:tab w:val="left" w:pos="792"/>
        </w:tabs>
        <w:spacing w:after="140" w:line="276"/>
        <w:ind w:left="792" w:hanging="792"/>
      </w:pPr>
      <w:r>
        <w:rPr>
          <w:rFonts w:ascii="Cambria" w:cs="Cambria" w:eastAsia="Cambria" w:hAnsi="Cambria"/>
          <w:b/>
          <w:bCs/>
        </w:rPr>
        <w:t xml:space="preserve">8.5</w:t>
      </w:r>
      <w:r>
        <w:tab/>
      </w:r>
      <w:r>
        <w:rPr>
          <w:rFonts w:ascii="Cambria" w:cs="Cambria" w:eastAsia="Cambria" w:hAnsi="Cambria"/>
          <w:b/>
          <w:bCs/>
          <w:color w:val="000000"/>
        </w:rPr>
        <w:t xml:space="preserve">Interim Authority. </w:t>
      </w:r>
      <w:r>
        <w:rPr>
          <w:rFonts w:ascii="Cambria" w:cs="Cambria" w:eastAsia="Cambria" w:hAnsi="Cambria"/>
          <w:b w:val="false"/>
          <w:bCs w:val="false"/>
          <w:color w:val="000000"/>
        </w:rPr>
        <w:t xml:space="preserve">If the Member who dies or loses capacity was the Manager, the remaining Members shall appoint a successor Manager within </w:t>
      </w:r>
      <w:r>
        <w:rPr>
          <w:rFonts w:ascii="Cambria" w:cs="Cambria" w:eastAsia="Cambria" w:hAnsi="Cambria"/>
          <w:b/>
          <w:bCs/>
          <w:color w:val="B03000"/>
        </w:rPr>
        <w:t xml:space="preserve">[SUCCESSOR APPOINTMENT DAYS]</w:t>
      </w:r>
      <w:r>
        <w:rPr>
          <w:rFonts w:ascii="Cambria" w:cs="Cambria" w:eastAsia="Cambria" w:hAnsi="Cambria"/>
          <w:b w:val="false"/>
          <w:bCs w:val="false"/>
          <w:color w:val="000000"/>
        </w:rPr>
        <w:t xml:space="preserve"> days by majority of the Membership Interests then held.</w:t>
      </w:r>
    </w:p>
    <w:p>
      <w:pPr>
        <w:pStyle w:val="Heading1"/>
        <w:keepNext/>
        <w:pBdr>
          <w:bottom w:val="single" w:color="B9B2A2" w:sz="4" w:space="4"/>
        </w:pBdr>
        <w:spacing w:after="140" w:before="300"/>
      </w:pPr>
      <w:r>
        <w:rPr>
          <w:rFonts w:ascii="Cambria" w:cs="Cambria" w:eastAsia="Cambria" w:hAnsi="Cambria"/>
          <w:b/>
          <w:bCs/>
          <w:color w:val="1F3864"/>
          <w:sz w:val="24"/>
          <w:szCs w:val="24"/>
        </w:rPr>
        <w:t xml:space="preserve">ARTICLE 9. DISSOLUTION AND WINDING UP</w:t>
      </w:r>
    </w:p>
    <w:p>
      <w:pPr>
        <w:tabs>
          <w:tab w:val="left" w:pos="792"/>
        </w:tabs>
        <w:spacing w:after="140" w:line="276"/>
        <w:ind w:left="792" w:hanging="792"/>
      </w:pPr>
      <w:r>
        <w:rPr>
          <w:rFonts w:ascii="Cambria" w:cs="Cambria" w:eastAsia="Cambria" w:hAnsi="Cambria"/>
          <w:b/>
          <w:bCs/>
        </w:rPr>
        <w:t xml:space="preserve">9.1</w:t>
      </w:r>
      <w:r>
        <w:tab/>
      </w:r>
      <w:r>
        <w:rPr>
          <w:rFonts w:ascii="Cambria" w:cs="Cambria" w:eastAsia="Cambria" w:hAnsi="Cambria"/>
          <w:b/>
          <w:bCs/>
          <w:color w:val="000000"/>
        </w:rPr>
        <w:t xml:space="preserve">Dissolution Events. </w:t>
      </w:r>
      <w:r>
        <w:rPr>
          <w:rFonts w:ascii="Cambria" w:cs="Cambria" w:eastAsia="Cambria" w:hAnsi="Cambria"/>
          <w:b w:val="false"/>
          <w:bCs w:val="false"/>
          <w:color w:val="000000"/>
        </w:rPr>
        <w:t xml:space="preserve">The Company shall be dissolved on (a) the unanimous written consent of the Members; (b) the sale of substantially all Company assets; (c) a judicial decree of dissolution; or (d) as required by </w:t>
      </w:r>
      <w:r>
        <w:rPr>
          <w:rFonts w:ascii="Cambria" w:cs="Cambria" w:eastAsia="Cambria" w:hAnsi="Cambria"/>
          <w:b/>
          <w:bCs/>
          <w:color w:val="B03000"/>
        </w:rPr>
        <w:t xml:space="preserve">[STATE]</w:t>
      </w:r>
      <w:r>
        <w:rPr>
          <w:rFonts w:ascii="Cambria" w:cs="Cambria" w:eastAsia="Cambria" w:hAnsi="Cambria"/>
          <w:b w:val="false"/>
          <w:bCs w:val="false"/>
          <w:color w:val="000000"/>
        </w:rPr>
        <w:t xml:space="preserve"> law.</w:t>
      </w:r>
    </w:p>
    <w:p>
      <w:pPr>
        <w:tabs>
          <w:tab w:val="left" w:pos="792"/>
        </w:tabs>
        <w:spacing w:after="140" w:line="276"/>
        <w:ind w:left="792" w:hanging="792"/>
      </w:pPr>
      <w:r>
        <w:rPr>
          <w:rFonts w:ascii="Cambria" w:cs="Cambria" w:eastAsia="Cambria" w:hAnsi="Cambria"/>
          <w:b/>
          <w:bCs/>
        </w:rPr>
        <w:t xml:space="preserve">9.2</w:t>
      </w:r>
      <w:r>
        <w:tab/>
      </w:r>
      <w:r>
        <w:rPr>
          <w:rFonts w:ascii="Cambria" w:cs="Cambria" w:eastAsia="Cambria" w:hAnsi="Cambria"/>
          <w:b/>
          <w:bCs/>
          <w:color w:val="000000"/>
        </w:rPr>
        <w:t xml:space="preserve">Winding Up. </w:t>
      </w:r>
      <w:r>
        <w:rPr>
          <w:rFonts w:ascii="Cambria" w:cs="Cambria" w:eastAsia="Cambria" w:hAnsi="Cambria"/>
          <w:b w:val="false"/>
          <w:bCs w:val="false"/>
          <w:color w:val="000000"/>
        </w:rPr>
        <w:t xml:space="preserve">On dissolution the Manager, or a liquidating trustee appointed by the Members, shall liquidate the Company's assets, file the final tax returns, and make the dissolution filing </w:t>
      </w:r>
      <w:r>
        <w:rPr>
          <w:rFonts w:ascii="Cambria" w:cs="Cambria" w:eastAsia="Cambria" w:hAnsi="Cambria"/>
          <w:b/>
          <w:bCs/>
          <w:color w:val="B03000"/>
        </w:rPr>
        <w:t xml:space="preserve">[STATE]</w:t>
      </w:r>
      <w:r>
        <w:rPr>
          <w:rFonts w:ascii="Cambria" w:cs="Cambria" w:eastAsia="Cambria" w:hAnsi="Cambria"/>
          <w:b w:val="false"/>
          <w:bCs w:val="false"/>
          <w:color w:val="000000"/>
        </w:rPr>
        <w:t xml:space="preserve"> requires.</w:t>
      </w:r>
    </w:p>
    <w:p>
      <w:pPr>
        <w:tabs>
          <w:tab w:val="left" w:pos="792"/>
        </w:tabs>
        <w:spacing w:after="140" w:line="276"/>
        <w:ind w:left="792" w:hanging="792"/>
      </w:pPr>
      <w:r>
        <w:rPr>
          <w:rFonts w:ascii="Cambria" w:cs="Cambria" w:eastAsia="Cambria" w:hAnsi="Cambria"/>
          <w:b/>
          <w:bCs/>
        </w:rPr>
        <w:t xml:space="preserve">9.3</w:t>
      </w:r>
      <w:r>
        <w:tab/>
      </w:r>
      <w:r>
        <w:rPr>
          <w:rFonts w:ascii="Cambria" w:cs="Cambria" w:eastAsia="Cambria" w:hAnsi="Cambria"/>
          <w:b/>
          <w:bCs/>
          <w:color w:val="000000"/>
        </w:rPr>
        <w:t xml:space="preserve">Order of Distribution. </w:t>
      </w:r>
      <w:r>
        <w:rPr>
          <w:rFonts w:ascii="Cambria" w:cs="Cambria" w:eastAsia="Cambria" w:hAnsi="Cambria"/>
          <w:b w:val="false"/>
          <w:bCs w:val="false"/>
          <w:color w:val="000000"/>
        </w:rPr>
        <w:t xml:space="preserve">Liquidation proceeds shall be applied in the following order: (a) to creditors of the Company, including any Member who is a creditor; (b) to the Members in proportion to their positive Capital Account balances; and (c) any remainder in proportion to Membership Interests.</w:t>
      </w:r>
    </w:p>
    <w:p>
      <w:pPr>
        <w:pStyle w:val="Heading1"/>
        <w:keepNext/>
        <w:pBdr>
          <w:bottom w:val="single" w:color="B9B2A2" w:sz="4" w:space="4"/>
        </w:pBdr>
        <w:spacing w:after="140" w:before="300"/>
      </w:pPr>
      <w:r>
        <w:rPr>
          <w:rFonts w:ascii="Cambria" w:cs="Cambria" w:eastAsia="Cambria" w:hAnsi="Cambria"/>
          <w:b/>
          <w:bCs/>
          <w:color w:val="1F3864"/>
          <w:sz w:val="24"/>
          <w:szCs w:val="24"/>
        </w:rPr>
        <w:t xml:space="preserve">ARTICLE 10. AMENDMENT PROCEDURES</w:t>
      </w:r>
    </w:p>
    <w:p>
      <w:pPr>
        <w:tabs>
          <w:tab w:val="left" w:pos="792"/>
        </w:tabs>
        <w:spacing w:after="140" w:line="276"/>
        <w:ind w:left="792" w:hanging="792"/>
      </w:pPr>
      <w:r>
        <w:rPr>
          <w:rFonts w:ascii="Cambria" w:cs="Cambria" w:eastAsia="Cambria" w:hAnsi="Cambria"/>
          <w:b/>
          <w:bCs/>
        </w:rPr>
        <w:t xml:space="preserve">10.1</w:t>
      </w:r>
      <w:r>
        <w:tab/>
      </w:r>
      <w:r>
        <w:rPr>
          <w:rFonts w:ascii="Cambria" w:cs="Cambria" w:eastAsia="Cambria" w:hAnsi="Cambria"/>
          <w:b/>
          <w:bCs/>
          <w:color w:val="000000"/>
        </w:rPr>
        <w:t xml:space="preserve">Written Amendment Required. </w:t>
      </w:r>
      <w:r>
        <w:rPr>
          <w:rFonts w:ascii="Cambria" w:cs="Cambria" w:eastAsia="Cambria" w:hAnsi="Cambria"/>
          <w:b w:val="false"/>
          <w:bCs w:val="false"/>
          <w:color w:val="000000"/>
        </w:rPr>
        <w:t xml:space="preserve">This Agreement may be amended only by a written instrument signed by the Members whose consent Section 10.2 requires. No oral agreement, course of dealing, or exchange of correspondence amends it.</w:t>
      </w:r>
    </w:p>
    <w:p>
      <w:pPr>
        <w:tabs>
          <w:tab w:val="left" w:pos="792"/>
        </w:tabs>
        <w:spacing w:after="140" w:line="276"/>
        <w:ind w:left="792" w:hanging="792"/>
      </w:pPr>
      <w:r>
        <w:rPr>
          <w:rFonts w:ascii="Cambria" w:cs="Cambria" w:eastAsia="Cambria" w:hAnsi="Cambria"/>
          <w:b/>
          <w:bCs/>
        </w:rPr>
        <w:t xml:space="preserve">10.2</w:t>
      </w:r>
      <w:r>
        <w:tab/>
      </w:r>
      <w:r>
        <w:rPr>
          <w:rFonts w:ascii="Cambria" w:cs="Cambria" w:eastAsia="Cambria" w:hAnsi="Cambria"/>
          <w:b/>
          <w:bCs/>
          <w:color w:val="000000"/>
        </w:rPr>
        <w:t xml:space="preserve">Threshold. </w:t>
      </w:r>
      <w:r>
        <w:rPr>
          <w:rFonts w:ascii="Cambria" w:cs="Cambria" w:eastAsia="Cambria" w:hAnsi="Cambria"/>
          <w:b w:val="false"/>
          <w:bCs w:val="false"/>
          <w:color w:val="000000"/>
        </w:rPr>
        <w:t xml:space="preserve">An amendment requires the unanimous written consent of all Members, as provided in Section 3.2. An amendment that changes a Member's Membership Interest, Capital Account, allocation, or distribution right requires the written consent of that Member in all events.</w:t>
      </w:r>
    </w:p>
    <w:p>
      <w:pPr>
        <w:tabs>
          <w:tab w:val="left" w:pos="792"/>
        </w:tabs>
        <w:spacing w:after="140" w:line="276"/>
        <w:ind w:left="792" w:hanging="792"/>
      </w:pPr>
      <w:r>
        <w:rPr>
          <w:rFonts w:ascii="Cambria" w:cs="Cambria" w:eastAsia="Cambria" w:hAnsi="Cambria"/>
          <w:b/>
          <w:bCs/>
        </w:rPr>
        <w:t xml:space="preserve">10.3</w:t>
      </w:r>
      <w:r>
        <w:tab/>
      </w:r>
      <w:r>
        <w:rPr>
          <w:rFonts w:ascii="Cambria" w:cs="Cambria" w:eastAsia="Cambria" w:hAnsi="Cambria"/>
          <w:b/>
          <w:bCs/>
          <w:color w:val="000000"/>
        </w:rPr>
        <w:t xml:space="preserve">Form and Effective Date. </w:t>
      </w:r>
      <w:r>
        <w:rPr>
          <w:rFonts w:ascii="Cambria" w:cs="Cambria" w:eastAsia="Cambria" w:hAnsi="Cambria"/>
          <w:b w:val="false"/>
          <w:bCs w:val="false"/>
          <w:color w:val="000000"/>
        </w:rPr>
        <w:t xml:space="preserve">Each amendment shall state its effective date, shall be signed by the Company and each consenting Member, and shall be attached to this Agreement or incorporated into a restated Agreement held in the records book.</w:t>
      </w:r>
    </w:p>
    <w:p>
      <w:pPr>
        <w:pStyle w:val="Heading1"/>
        <w:keepNext/>
        <w:pBdr>
          <w:bottom w:val="single" w:color="B9B2A2" w:sz="4" w:space="4"/>
        </w:pBdr>
        <w:spacing w:after="140" w:before="300"/>
      </w:pPr>
      <w:r>
        <w:rPr>
          <w:rFonts w:ascii="Cambria" w:cs="Cambria" w:eastAsia="Cambria" w:hAnsi="Cambria"/>
          <w:b/>
          <w:bCs/>
          <w:color w:val="1F3864"/>
          <w:sz w:val="24"/>
          <w:szCs w:val="24"/>
        </w:rPr>
        <w:t xml:space="preserve">ARTICLE 11. SIGNATURES AND EXECUTION</w:t>
      </w:r>
    </w:p>
    <w:p>
      <w:pPr>
        <w:spacing w:after="200" w:before="200" w:line="276"/>
      </w:pPr>
      <w:r>
        <w:rPr>
          <w:rFonts w:ascii="Cambria" w:cs="Cambria" w:eastAsia="Cambria" w:hAnsi="Cambria"/>
          <w:b w:val="false"/>
          <w:bCs w:val="false"/>
          <w:color w:val="000000"/>
        </w:rPr>
        <w:t xml:space="preserve">IN WITNESS WHEREOF, the undersigned have executed this Operating Agreement as of the date first written above, intending to be legally bound.</w:t>
      </w:r>
    </w:p>
    <w:p>
      <w:pPr>
        <w:spacing w:after="100" w:before="240" w:line="276"/>
      </w:pPr>
      <w:r>
        <w:rPr>
          <w:rFonts w:ascii="Cambria" w:cs="Cambria" w:eastAsia="Cambria" w:hAnsi="Cambria"/>
          <w:b/>
          <w:bCs/>
          <w:color w:val="000000"/>
          <w:sz w:val="20"/>
          <w:szCs w:val="20"/>
        </w:rPr>
        <w:t xml:space="preserve">THE COMPANY:</w:t>
      </w:r>
    </w:p>
    <w:p>
      <w:pPr>
        <w:spacing w:after="120" w:before="0" w:line="276"/>
      </w:pPr>
      <w:r>
        <w:rPr>
          <w:rFonts w:ascii="Cambria" w:cs="Cambria" w:eastAsia="Cambria" w:hAnsi="Cambria"/>
          <w:b/>
          <w:bCs/>
          <w:color w:val="B03000"/>
        </w:rPr>
        <w:t xml:space="preserve">[LLC NAME]</w:t>
      </w:r>
      <w:r>
        <w:rPr>
          <w:rFonts w:ascii="Cambria" w:cs="Cambria" w:eastAsia="Cambria" w:hAnsi="Cambria"/>
          <w:b w:val="false"/>
          <w:bCs w:val="false"/>
          <w:color w:val="000000"/>
        </w:rPr>
        <w:t xml:space="preserve">, a </w:t>
      </w:r>
      <w:r>
        <w:rPr>
          <w:rFonts w:ascii="Cambria" w:cs="Cambria" w:eastAsia="Cambria" w:hAnsi="Cambria"/>
          <w:b/>
          <w:bCs/>
          <w:color w:val="B03000"/>
        </w:rPr>
        <w:t xml:space="preserve">[STATE]</w:t>
      </w:r>
      <w:r>
        <w:rPr>
          <w:rFonts w:ascii="Cambria" w:cs="Cambria" w:eastAsia="Cambria" w:hAnsi="Cambria"/>
          <w:b w:val="false"/>
          <w:bCs w:val="false"/>
          <w:color w:val="000000"/>
        </w:rPr>
        <w:t xml:space="preserve"> Limited Liability Company</w:t>
      </w:r>
    </w:p>
    <w:p>
      <w:pPr>
        <w:tabs>
          <w:tab w:val="right" w:pos="9360"/>
        </w:tabs>
        <w:spacing w:after="60" w:line="260"/>
      </w:pPr>
      <w:r>
        <w:rPr>
          <w:rFonts w:ascii="Cambria" w:cs="Cambria" w:eastAsia="Cambria" w:hAnsi="Cambria"/>
          <w:b w:val="false"/>
          <w:bCs w:val="false"/>
          <w:color w:val="000000"/>
        </w:rPr>
        <w:t xml:space="preserve">By: ___________________________________</w:t>
      </w:r>
      <w:r>
        <w:tab/>
      </w:r>
      <w:r>
        <w:rPr>
          <w:rFonts w:ascii="Cambria" w:cs="Cambria" w:eastAsia="Cambria" w:hAnsi="Cambria"/>
          <w:b w:val="false"/>
          <w:bCs w:val="false"/>
          <w:color w:val="000000"/>
        </w:rPr>
        <w:t xml:space="preserve">Date: __________________</w:t>
      </w:r>
    </w:p>
    <w:p>
      <w:pPr>
        <w:spacing w:after="60" w:before="0" w:line="260"/>
      </w:pPr>
      <w:r>
        <w:rPr>
          <w:rFonts w:ascii="Cambria" w:cs="Cambria" w:eastAsia="Cambria" w:hAnsi="Cambria"/>
          <w:b w:val="false"/>
          <w:bCs w:val="false"/>
          <w:color w:val="000000"/>
        </w:rPr>
        <w:t xml:space="preserve">Name: </w:t>
      </w:r>
      <w:r>
        <w:rPr>
          <w:rFonts w:ascii="Cambria" w:cs="Cambria" w:eastAsia="Cambria" w:hAnsi="Cambria"/>
          <w:b/>
          <w:bCs/>
          <w:color w:val="B03000"/>
        </w:rPr>
        <w:t xml:space="preserve">[MEMBER A NAME]</w:t>
      </w:r>
      <w:r>
        <w:rPr>
          <w:rFonts w:ascii="Cambria" w:cs="Cambria" w:eastAsia="Cambria" w:hAnsi="Cambria"/>
          <w:b w:val="false"/>
          <w:bCs w:val="false"/>
          <w:color w:val="000000"/>
        </w:rPr>
        <w:t xml:space="preserve">, as Manager</w:t>
      </w:r>
    </w:p>
    <w:p>
      <w:pPr>
        <w:spacing w:after="100" w:before="240" w:line="276"/>
      </w:pPr>
      <w:r>
        <w:rPr>
          <w:rFonts w:ascii="Cambria" w:cs="Cambria" w:eastAsia="Cambria" w:hAnsi="Cambria"/>
          <w:b/>
          <w:bCs/>
          <w:color w:val="000000"/>
          <w:sz w:val="20"/>
          <w:szCs w:val="20"/>
        </w:rPr>
        <w:t xml:space="preserve">MEMBER A:</w:t>
      </w:r>
    </w:p>
    <w:p>
      <w:pPr>
        <w:tabs>
          <w:tab w:val="right" w:pos="9360"/>
        </w:tabs>
        <w:spacing w:after="60" w:line="260"/>
      </w:pPr>
      <w:r>
        <w:rPr>
          <w:rFonts w:ascii="Cambria" w:cs="Cambria" w:eastAsia="Cambria" w:hAnsi="Cambria"/>
          <w:b w:val="false"/>
          <w:bCs w:val="false"/>
          <w:color w:val="000000"/>
        </w:rPr>
        <w:t xml:space="preserve">By: ___________________________________</w:t>
      </w:r>
      <w:r>
        <w:tab/>
      </w:r>
      <w:r>
        <w:rPr>
          <w:rFonts w:ascii="Cambria" w:cs="Cambria" w:eastAsia="Cambria" w:hAnsi="Cambria"/>
          <w:b w:val="false"/>
          <w:bCs w:val="false"/>
          <w:color w:val="000000"/>
        </w:rPr>
        <w:t xml:space="preserve">Date: __________________</w:t>
      </w:r>
    </w:p>
    <w:p>
      <w:pPr>
        <w:spacing w:after="60" w:before="0" w:line="260"/>
      </w:pPr>
      <w:r>
        <w:rPr>
          <w:rFonts w:ascii="Cambria" w:cs="Cambria" w:eastAsia="Cambria" w:hAnsi="Cambria"/>
          <w:b w:val="false"/>
          <w:bCs w:val="false"/>
          <w:color w:val="000000"/>
        </w:rPr>
        <w:t xml:space="preserve">Name: </w:t>
      </w:r>
      <w:r>
        <w:rPr>
          <w:rFonts w:ascii="Cambria" w:cs="Cambria" w:eastAsia="Cambria" w:hAnsi="Cambria"/>
          <w:b/>
          <w:bCs/>
          <w:color w:val="B03000"/>
        </w:rPr>
        <w:t xml:space="preserve">[MEMBER A NAME]</w:t>
      </w:r>
      <w:r>
        <w:rPr>
          <w:rFonts w:ascii="Cambria" w:cs="Cambria" w:eastAsia="Cambria" w:hAnsi="Cambria"/>
          <w:b w:val="false"/>
          <w:bCs w:val="false"/>
          <w:color w:val="000000"/>
        </w:rPr>
        <w:t xml:space="preserve"> (individually)</w:t>
      </w:r>
    </w:p>
    <w:p>
      <w:pPr>
        <w:spacing w:after="100" w:before="240" w:line="276"/>
      </w:pPr>
      <w:r>
        <w:rPr>
          <w:rFonts w:ascii="Cambria" w:cs="Cambria" w:eastAsia="Cambria" w:hAnsi="Cambria"/>
          <w:b/>
          <w:bCs/>
          <w:color w:val="000000"/>
          <w:sz w:val="20"/>
          <w:szCs w:val="20"/>
        </w:rPr>
        <w:t xml:space="preserve">MEMBER B:</w:t>
      </w:r>
    </w:p>
    <w:p>
      <w:pPr>
        <w:tabs>
          <w:tab w:val="right" w:pos="9360"/>
        </w:tabs>
        <w:spacing w:after="60" w:line="260"/>
      </w:pPr>
      <w:r>
        <w:rPr>
          <w:rFonts w:ascii="Cambria" w:cs="Cambria" w:eastAsia="Cambria" w:hAnsi="Cambria"/>
          <w:b w:val="false"/>
          <w:bCs w:val="false"/>
          <w:color w:val="000000"/>
        </w:rPr>
        <w:t xml:space="preserve">By: ___________________________________</w:t>
      </w:r>
      <w:r>
        <w:tab/>
      </w:r>
      <w:r>
        <w:rPr>
          <w:rFonts w:ascii="Cambria" w:cs="Cambria" w:eastAsia="Cambria" w:hAnsi="Cambria"/>
          <w:b w:val="false"/>
          <w:bCs w:val="false"/>
          <w:color w:val="000000"/>
        </w:rPr>
        <w:t xml:space="preserve">Date: __________________</w:t>
      </w:r>
    </w:p>
    <w:p>
      <w:pPr>
        <w:spacing w:after="60" w:before="0" w:line="260"/>
      </w:pPr>
      <w:r>
        <w:rPr>
          <w:rFonts w:ascii="Cambria" w:cs="Cambria" w:eastAsia="Cambria" w:hAnsi="Cambria"/>
          <w:b w:val="false"/>
          <w:bCs w:val="false"/>
          <w:color w:val="000000"/>
        </w:rPr>
        <w:t xml:space="preserve">Name: </w:t>
      </w:r>
      <w:r>
        <w:rPr>
          <w:rFonts w:ascii="Cambria" w:cs="Cambria" w:eastAsia="Cambria" w:hAnsi="Cambria"/>
          <w:b/>
          <w:bCs/>
          <w:color w:val="B03000"/>
        </w:rPr>
        <w:t xml:space="preserve">[MEMBER B NAME]</w:t>
      </w:r>
      <w:r>
        <w:rPr>
          <w:rFonts w:ascii="Cambria" w:cs="Cambria" w:eastAsia="Cambria" w:hAnsi="Cambria"/>
          <w:b w:val="false"/>
          <w:bCs w:val="false"/>
          <w:color w:val="000000"/>
        </w:rPr>
        <w:t xml:space="preserve"> (individually)</w:t>
      </w:r>
    </w:p>
    <w:sectPr>
      <w:footerReference w:type="default" r:id="rId7"/>
      <w:pgSz w:w="12240" w:h="15840" w:orient="portrait"/>
      <w:pgMar w:top="1152" w:right="1440" w:bottom="1008"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9B2A2" w:sz="4" w:space="6"/>
      </w:pBdr>
      <w:spacing w:before="120"/>
      <w:jc w:val="center"/>
    </w:pPr>
    <w:r>
      <w:rPr>
        <w:rFonts w:ascii="Cambria" w:cs="Cambria" w:eastAsia="Cambria" w:hAnsi="Cambria"/>
        <w:color w:val="555555"/>
        <w:sz w:val="16"/>
        <w:szCs w:val="16"/>
      </w:rPr>
      <w:t xml:space="preserve">Companion material to LLC Beginner's Guide 2026 · Corporatee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color w:val="000000"/>
        <w:sz w:val="21"/>
        <w:szCs w:val="21"/>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40" w:before="300"/>
    </w:pPr>
    <w:rPr>
      <w:rFonts w:ascii="Cambria" w:cs="Cambria" w:eastAsia="Cambria" w:hAnsi="Cambria"/>
      <w:b/>
      <w:bCs/>
      <w:color w:val="1F3864"/>
      <w:sz w:val="24"/>
      <w:szCs w:val="24"/>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2026-08-18T20:14:53.530Z</dcterms:created>
  <dcterms:modified xsi:type="dcterms:W3CDTF">2026-08-18T20:14:53.530Z</dcterms:modified>
</cp:coreProperties>
</file>

<file path=docProps/custom.xml><?xml version="1.0" encoding="utf-8"?>
<Properties xmlns="http://schemas.openxmlformats.org/officeDocument/2006/custom-properties" xmlns:vt="http://schemas.openxmlformats.org/officeDocument/2006/docPropsVTypes"/>
</file>